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Alturas Indian Rancheria, California</w:t>
      </w:r>
    </w:p>
    <w:p>
      <w:pPr>
        <w:pStyle w:val="HSBody"/>
      </w:pPr>
      <w:r>
        <w:t>Prepared for the offices of: 2 Senators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Alturas Indian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Alturas Indian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$484,473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0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$484,473</w:t>
            </w:r>
          </w:p>
        </w:tc>
        <w:tc>
          <w:tcPr>
            <w:tcW w:type="dxa" w:w="2340"/>
            <w:shd w:fill="F2F2F2" w:val="clear"/>
          </w:tcPr>
          <w:p>
            <w:r>
              <w:t>2024-07-01 - 2026-12-31</w:t>
            </w:r>
          </w:p>
        </w:tc>
      </w:tr>
    </w:tbl>
    <w:p>
      <w:pPr>
        <w:pStyle w:val="HSBody"/>
      </w:pPr>
      <w:r>
        <w:rPr>
          <w:b/>
        </w:rPr>
        <w:t>Total: $484,473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Alturas Indian Rancheria, California generated an estimated $872,051-$1,162,735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Alturas Indian Rancheria, California generated an estimated $872,051-$1,162,735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Alturas Indian Rancheria,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Alturas Indian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Alturas Indian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Alturas Indian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Alturas Indian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Alturas Indian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