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Berry Creek Rancheria of Maidu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Berry Creek Rancheria of Maidu Indians of California's climate risk profile and geographic context.</w:t>
      </w:r>
    </w:p>
    <w:p>
      <w:r>
        <w:br w:type="page"/>
      </w:r>
    </w:p>
    <w:p>
      <w:pPr>
        <w:pStyle w:val="Heading2"/>
      </w:pPr>
      <w:r>
        <w:t>Executive Summary</w:t>
      </w:r>
    </w:p>
    <w:p>
      <w:pPr>
        <w:pStyle w:val="HSTitle"/>
      </w:pPr>
      <w:r>
        <w:t>Berry Creek Rancheria of Maidu Indians of California -- CA</w:t>
      </w:r>
    </w:p>
    <w:p>
      <w:pPr>
        <w:pStyle w:val="HSBody"/>
      </w:pPr>
      <w:r>
        <w:t>Top Climate Hazards: Wildfire, Earthquake, Landslide</w:t>
      </w:r>
    </w:p>
    <w:p>
      <w:pPr>
        <w:pStyle w:val="HSBody"/>
      </w:pPr>
      <w:r>
        <w:t>Total Federal Climate Resilience Funding: $5,000,000</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$5,000,000</w:t>
            </w:r>
          </w:p>
        </w:tc>
        <w:tc>
          <w:tcPr>
            <w:tcW w:type="dxa" w:w="2340"/>
            <w:shd w:fill="F2F2F2" w:val="clear"/>
          </w:tcPr>
          <w:p>
            <w:r>
              <w:t>2025-01-15 - 2028-05-01</w:t>
            </w:r>
          </w:p>
        </w:tc>
      </w:tr>
    </w:tbl>
    <w:p>
      <w:pPr>
        <w:pStyle w:val="HSBody"/>
      </w:pPr>
      <w:r>
        <w:rPr>
          <w:b/>
        </w:rPr>
        <w:t>Total: $5,000,000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Berry Creek Rancheria of Maidu Indians of California generated an estimated $9,000,000-$12,000,000 in regional economic activity (BEA RIMS II methodology, output multiplier range 1.8-2.4x), supporting approximately 40-75 jobs (BLS employment requirements methodology).</w:t>
      </w:r>
    </w:p>
    <w:p>
      <w:pPr>
        <w:pStyle w:val="HSBody"/>
      </w:pPr>
      <w:r>
        <w:t>Hazard Alignment: Berry Creek Rancheria of Maidu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HUD IHBG funding to Berry Creek Rancheria of Maidu Indians of California generated an estimated $9,000,000-$12,000,000 in regional economic activity (BEA RIMS II methodology, output multiplier range 1.8-2.4x), supporting approximately 40-75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Berry Creek Rancheria of Maidu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Berry Creek Rancheria of Maidu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Berry Creek Rancheria of Maidu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