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Cedarville Rancheria, California</w:t>
      </w:r>
    </w:p>
    <w:p>
      <w:pPr>
        <w:pStyle w:val="HSBody"/>
      </w:pPr>
      <w:r>
        <w:t>Prepared for the offices of: 2 Senators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Cedarville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Cedarville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$1,087,277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0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Cedarville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$1,087,277</w:t>
            </w:r>
          </w:p>
        </w:tc>
        <w:tc>
          <w:tcPr>
            <w:tcW w:type="dxa" w:w="2340"/>
            <w:shd w:fill="F2F2F2" w:val="clear"/>
          </w:tcPr>
          <w:p>
            <w:r>
              <w:t>2012-02-10 - 2034-09-30</w:t>
            </w:r>
          </w:p>
        </w:tc>
      </w:tr>
    </w:tbl>
    <w:p>
      <w:pPr>
        <w:pStyle w:val="HSBody"/>
      </w:pPr>
      <w:r>
        <w:rPr>
          <w:b/>
        </w:rPr>
        <w:t>Total: $1,087,277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Cedarville Rancheria, California generated an estimated $1,957,099-$2,609,465 in regional economic activity (BEA RIMS II methodology, output multiplier range 1.8-2.4x), supporting approximately 9-16 jobs (BLS employment requirements methodology).</w:t>
      </w:r>
    </w:p>
    <w:p>
      <w:pPr>
        <w:pStyle w:val="HSBody"/>
      </w:pPr>
      <w:r>
        <w:t>Hazard Alignment: Cedarville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Cedarville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Cedarville Rancheria, California generated an estimated $1,957,099-$2,609,465 in regional economic activity (BEA RIMS II methodology, output multiplier range 1.8-2.4x), supporting approximately 9-16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Cedarville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Cedarville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Cedarville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