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Colorado River Indian Tribes of the Colorado River Indian Reservation, Arizona and California</w:t>
      </w:r>
    </w:p>
    <w:p>
      <w:pPr>
        <w:pStyle w:val="HSBody"/>
      </w:pPr>
      <w:r>
        <w:t>Prepared for the offices of: 4 Senators, 2 Representatives</w:t>
      </w:r>
    </w:p>
    <w:p>
      <w:pPr>
        <w:pStyle w:val="HSBody"/>
      </w:pPr>
      <w:r>
        <w:t>State(s): AZ,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Colorado River Indian Tribes of the Colorado River Indian Reservation, Arizona and California's climate risk profile and geographic context.</w:t>
      </w:r>
    </w:p>
    <w:p>
      <w:r>
        <w:br w:type="page"/>
      </w:r>
    </w:p>
    <w:p>
      <w:pPr>
        <w:pStyle w:val="Heading2"/>
      </w:pPr>
      <w:r>
        <w:t>Executive Summary</w:t>
      </w:r>
    </w:p>
    <w:p>
      <w:pPr>
        <w:pStyle w:val="HSTitle"/>
      </w:pPr>
      <w:r>
        <w:t>Colorado River Indian Tribes of the Colorado River Indian Reservation, Arizona and California -- AZ, CA</w:t>
      </w:r>
    </w:p>
    <w:p>
      <w:pPr>
        <w:pStyle w:val="HSBody"/>
      </w:pPr>
      <w:r>
        <w:t>Top Climate Hazards: Wildfire, Earthquake, Inland Flooding</w:t>
      </w:r>
    </w:p>
    <w:p>
      <w:pPr>
        <w:pStyle w:val="HSBody"/>
      </w:pPr>
      <w:r>
        <w:t>Total Federal Climate Resilience Funding: $52,678,656</w:t>
      </w:r>
    </w:p>
    <w:p>
      <w:pPr>
        <w:pStyle w:val="HSBody"/>
      </w:pPr>
      <w:r>
        <w:t>12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Paul A. Gosar (R-AZ-09)</w:t>
            </w:r>
          </w:p>
        </w:tc>
        <w:tc>
          <w:tcPr>
            <w:tcW w:type="dxa" w:w="1872"/>
            <w:shd w:fill="F2F2F2" w:val="clear"/>
          </w:tcPr>
          <w:p>
            <w:r>
              <w:t>Representative</w:t>
            </w:r>
          </w:p>
        </w:tc>
        <w:tc>
          <w:tcPr>
            <w:tcW w:type="dxa" w:w="1872"/>
            <w:shd w:fill="F2F2F2" w:val="clear"/>
          </w:tcPr>
          <w:p>
            <w:r>
              <w:t>AZ</w:t>
            </w:r>
          </w:p>
        </w:tc>
        <w:tc>
          <w:tcPr>
            <w:tcW w:type="dxa" w:w="1872"/>
            <w:shd w:fill="F2F2F2" w:val="clear"/>
          </w:tcPr>
          <w:p>
            <w:r>
              <w:t>9</w:t>
            </w:r>
          </w:p>
        </w:tc>
        <w:tc>
          <w:tcPr>
            <w:tcW w:type="dxa" w:w="1872"/>
            <w:shd w:fill="F2F2F2" w:val="clear"/>
          </w:tcPr>
          <w:p>
            <w:r>
              <w:t>House Committee on Natural Resources; Energy and Mineral Resources</w:t>
            </w:r>
          </w:p>
        </w:tc>
      </w:tr>
      <w:tr>
        <w:tc>
          <w:tcPr>
            <w:tcW w:type="dxa" w:w="1872"/>
            <w:shd w:fill="FFFFFF" w:val="clear"/>
          </w:tcPr>
          <w:p>
            <w:r>
              <w:t>Rep. Raul Ruiz (D-CA-25)</w:t>
            </w:r>
          </w:p>
        </w:tc>
        <w:tc>
          <w:tcPr>
            <w:tcW w:type="dxa" w:w="1872"/>
            <w:shd w:fill="FFFFFF" w:val="clear"/>
          </w:tcPr>
          <w:p>
            <w:r>
              <w:t>Representative</w:t>
            </w:r>
          </w:p>
        </w:tc>
        <w:tc>
          <w:tcPr>
            <w:tcW w:type="dxa" w:w="1872"/>
            <w:shd w:fill="FFFFFF" w:val="clear"/>
          </w:tcPr>
          <w:p>
            <w:r>
              <w:t>CA</w:t>
            </w:r>
          </w:p>
        </w:tc>
        <w:tc>
          <w:tcPr>
            <w:tcW w:type="dxa" w:w="1872"/>
            <w:shd w:fill="FFFFFF" w:val="clear"/>
          </w:tcPr>
          <w:p>
            <w:r>
              <w:t>25</w:t>
            </w:r>
          </w:p>
        </w:tc>
        <w:tc>
          <w:tcPr>
            <w:tcW w:type="dxa" w:w="1872"/>
            <w:shd w:fill="FFFFFF" w:val="clear"/>
          </w:tcPr>
          <w:p>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FEMA BRIC.</w:t>
      </w:r>
    </w:p>
    <w:p>
      <w:pPr>
        <w:pStyle w:val="HSBody"/>
      </w:pPr>
      <w:r>
        <w:t>Per-District Impact Allocation:</w:t>
      </w:r>
    </w:p>
    <w:p>
      <w:pPr>
        <w:pStyle w:val="HSBody"/>
      </w:pPr>
      <w:r>
        <w:t xml:space="preserve">  AZ-09 (84% overlap): $757,800 - $1,010,400</w:t>
      </w:r>
    </w:p>
    <w:p>
      <w:pPr>
        <w:pStyle w:val="HSBody"/>
      </w:pPr>
      <w:r>
        <w:t xml:space="preserve">  CA-25 (16% overlap): $142,200 - $189,600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BIA Tribal Climate Resilience.</w:t>
      </w:r>
    </w:p>
    <w:p>
      <w:pPr>
        <w:pStyle w:val="HSBody"/>
      </w:pPr>
      <w:r>
        <w:t>Per-District Impact Allocation:</w:t>
      </w:r>
    </w:p>
    <w:p>
      <w:pPr>
        <w:pStyle w:val="HSBody"/>
      </w:pPr>
      <w:r>
        <w:t xml:space="preserve">  AZ-09 (84% overlap): $227,340 - $303,120</w:t>
      </w:r>
    </w:p>
    <w:p>
      <w:pPr>
        <w:pStyle w:val="HSBody"/>
      </w:pPr>
      <w:r>
        <w:t xml:space="preserve">  CA-25 (16% overlap): $42,660 - $56,880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IRS Elective Pay.</w:t>
      </w:r>
    </w:p>
    <w:p>
      <w:pPr>
        <w:pStyle w:val="HSBody"/>
      </w:pPr>
      <w:r>
        <w:t>Per-District Impact Allocation:</w:t>
      </w:r>
    </w:p>
    <w:p>
      <w:pPr>
        <w:pStyle w:val="HSBody"/>
      </w:pPr>
      <w:r>
        <w:t xml:space="preserve">  AZ-09 (84% overlap): $303,120 - $404,160</w:t>
      </w:r>
    </w:p>
    <w:p>
      <w:pPr>
        <w:pStyle w:val="HSBody"/>
      </w:pPr>
      <w:r>
        <w:t xml:space="preserve">  CA-25 (16% overlap): $56,880 - $75,840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FEMA Tribal Mitigation Plans.</w:t>
      </w:r>
    </w:p>
    <w:p>
      <w:pPr>
        <w:pStyle w:val="HSBody"/>
      </w:pPr>
      <w:r>
        <w:t>Per-District Impact Allocation:</w:t>
      </w:r>
    </w:p>
    <w:p>
      <w:pPr>
        <w:pStyle w:val="HSBody"/>
      </w:pPr>
      <w:r>
        <w:t xml:space="preserve">  AZ-09 (84% overlap): $454,680 - $606,240</w:t>
      </w:r>
    </w:p>
    <w:p>
      <w:pPr>
        <w:pStyle w:val="HSBody"/>
      </w:pPr>
      <w:r>
        <w:t xml:space="preserve">  CA-25 (16% overlap): $85,320 - $113,760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USDA Wildfire Defense Grants.</w:t>
      </w:r>
    </w:p>
    <w:p>
      <w:pPr>
        <w:pStyle w:val="HSBody"/>
      </w:pPr>
      <w:r>
        <w:t>Per-District Impact Allocation:</w:t>
      </w:r>
    </w:p>
    <w:p>
      <w:pPr>
        <w:pStyle w:val="HSBody"/>
      </w:pPr>
      <w:r>
        <w:t xml:space="preserve">  AZ-09 (84% overlap): $530,460 - $707,280</w:t>
      </w:r>
    </w:p>
    <w:p>
      <w:pPr>
        <w:pStyle w:val="HSBody"/>
      </w:pPr>
      <w:r>
        <w:t xml:space="preserve">  CA-25 (16% overlap): $99,540 - $132,720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EPA GAP.</w:t>
      </w:r>
    </w:p>
    <w:p>
      <w:pPr>
        <w:pStyle w:val="HSBody"/>
      </w:pPr>
      <w:r>
        <w:t>Per-District Impact Allocation:</w:t>
      </w:r>
    </w:p>
    <w:p>
      <w:pPr>
        <w:pStyle w:val="HSBody"/>
      </w:pPr>
      <w:r>
        <w:t xml:space="preserve">  AZ-09 (84% overlap): $113,670 - $151,560</w:t>
      </w:r>
    </w:p>
    <w:p>
      <w:pPr>
        <w:pStyle w:val="HSBody"/>
      </w:pPr>
      <w:r>
        <w:t xml:space="preserve">  CA-25 (16% overlap): $21,330 - $28,440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DOT PROTECT.</w:t>
      </w:r>
    </w:p>
    <w:p>
      <w:pPr>
        <w:pStyle w:val="HSBody"/>
      </w:pPr>
      <w:r>
        <w:t>Per-District Impact Allocation:</w:t>
      </w:r>
    </w:p>
    <w:p>
      <w:pPr>
        <w:pStyle w:val="HSBody"/>
      </w:pPr>
      <w:r>
        <w:t xml:space="preserve">  AZ-09 (84% overlap): $378,900 - $505,200</w:t>
      </w:r>
    </w:p>
    <w:p>
      <w:pPr>
        <w:pStyle w:val="HSBody"/>
      </w:pPr>
      <w:r>
        <w:t xml:space="preserve">  CA-25 (16% overlap): $71,100 - $94,800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DOE Indian Energy.</w:t>
      </w:r>
    </w:p>
    <w:p>
      <w:pPr>
        <w:pStyle w:val="HSBody"/>
      </w:pPr>
      <w:r>
        <w:t>Per-District Impact Allocation:</w:t>
      </w:r>
    </w:p>
    <w:p>
      <w:pPr>
        <w:pStyle w:val="HSBody"/>
      </w:pPr>
      <w:r>
        <w:t xml:space="preserve">  AZ-09 (84% overlap): $303,120 - $404,160</w:t>
      </w:r>
    </w:p>
    <w:p>
      <w:pPr>
        <w:pStyle w:val="HSBody"/>
      </w:pPr>
      <w:r>
        <w:t xml:space="preserve">  CA-25 (16% overlap): $56,880 - $75,840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$46,332,691</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$1,839,734</w:t>
            </w:r>
          </w:p>
        </w:tc>
        <w:tc>
          <w:tcPr>
            <w:tcW w:type="dxa" w:w="2340"/>
            <w:shd w:fill="FFFFFF" w:val="clear"/>
          </w:tcPr>
          <w:p>
            <w:r>
              <w:t>2021-04-22 - 2026-09-30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$3,402,848</w:t>
            </w:r>
          </w:p>
        </w:tc>
        <w:tc>
          <w:tcPr>
            <w:tcW w:type="dxa" w:w="2340"/>
            <w:shd w:fill="F2F2F2" w:val="clear"/>
          </w:tcPr>
          <w:p>
            <w:r>
              <w:t>2025-02-05 - 2026-11-30</w:t>
            </w:r>
          </w:p>
        </w:tc>
      </w:tr>
    </w:tbl>
    <w:p>
      <w:pPr>
        <w:pStyle w:val="HSBody"/>
      </w:pPr>
      <w:r>
        <w:rPr>
          <w:b/>
        </w:rPr>
        <w:t>Total: $51,575,273</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HUD IHBG funding to Colorado River Indian Tribes of the Colorado River Indian Reservation, Arizona and California generated an estimated $92,835,491-$123,780,655 in regional economic activity (BEA RIMS II methodology, output multiplier range 1.8-2.4x), supporting approximately 413-774 jobs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HUD IHBG.</w:t>
      </w:r>
    </w:p>
    <w:p>
      <w:pPr>
        <w:pStyle w:val="HSBody"/>
      </w:pPr>
      <w:r>
        <w:t>Per-District Impact Allocation:</w:t>
      </w:r>
    </w:p>
    <w:p>
      <w:pPr>
        <w:pStyle w:val="HSBody"/>
      </w:pPr>
      <w:r>
        <w:t xml:space="preserve">  AZ-09 (84% overlap): $78,167,484 - $104,223,312</w:t>
      </w:r>
    </w:p>
    <w:p>
      <w:pPr>
        <w:pStyle w:val="HSBody"/>
      </w:pPr>
      <w:r>
        <w:t xml:space="preserve">  CA-25 (16% overlap): $14,668,008 - $19,557,344</w:t>
      </w:r>
    </w:p>
    <w:p>
      <w:pPr>
        <w:pStyle w:val="HSSection"/>
      </w:pPr>
      <w:r>
        <w:t>Key Ask</w:t>
      </w:r>
    </w:p>
    <w:p>
      <w:pPr>
        <w:pStyle w:val="HSCallout"/>
        <w:shd w:fill="EEF2FF" w:val="clear"/>
      </w:pPr>
      <w:r>
        <w:t>ASK: HUD Indian Housing Block Grant program under NAHASDA.</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HUD IHBG funding to Colorado River Indian Tribes of the Colorado River Indian Reservation, Arizona and California generated an estimated $92,835,491-$123,780,655 in regional economic activity (BEA RIMS II methodology, output multiplier range 1.8-2.4x), supporting approximately 413-774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EPA STAG.</w:t>
      </w:r>
    </w:p>
    <w:p>
      <w:pPr>
        <w:pStyle w:val="HSBody"/>
      </w:pPr>
      <w:r>
        <w:t>Per-District Impact Allocation:</w:t>
      </w:r>
    </w:p>
    <w:p>
      <w:pPr>
        <w:pStyle w:val="HSBody"/>
      </w:pPr>
      <w:r>
        <w:t xml:space="preserve">  AZ-09 (84% overlap): $151,560 - $202,080</w:t>
      </w:r>
    </w:p>
    <w:p>
      <w:pPr>
        <w:pStyle w:val="HSBody"/>
      </w:pPr>
      <w:r>
        <w:t xml:space="preserve">  CA-25 (16% overlap): $28,440 - $37,920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87.8)</w:t>
      </w:r>
    </w:p>
    <w:p>
      <w:pPr>
        <w:pStyle w:val="HSBody"/>
      </w:pPr>
      <w:r>
        <w:t>Social Vulnerability: Relatively Moderate (Score: 52.4)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94.0</w:t>
            </w:r>
          </w:p>
        </w:tc>
        <w:tc>
          <w:tcPr>
            <w:tcW w:type="dxa" w:w="2340"/>
            <w:shd w:fill="F2F2F2" w:val="clear"/>
          </w:tcPr>
          <w:p>
            <w:r>
              <w:t>Very High</w:t>
            </w:r>
          </w:p>
        </w:tc>
        <w:tc>
          <w:tcPr>
            <w:tcW w:type="dxa" w:w="2340"/>
            <w:shd w:fill="F2F2F2" w:val="clear"/>
          </w:tcPr>
          <w:p>
            <w:r>
              <w:t>$27,612,528</w:t>
            </w:r>
          </w:p>
        </w:tc>
      </w:tr>
      <w:tr>
        <w:tc>
          <w:tcPr>
            <w:tcW w:type="dxa" w:w="2340"/>
            <w:shd w:fill="FFFFFF" w:val="clear"/>
          </w:tcPr>
          <w:p>
            <w:r>
              <w:t>Earthquake</w:t>
            </w:r>
          </w:p>
        </w:tc>
        <w:tc>
          <w:tcPr>
            <w:tcW w:type="dxa" w:w="2340"/>
            <w:shd w:fill="FFFFFF" w:val="clear"/>
          </w:tcPr>
          <w:p>
            <w:r>
              <w:t>89.1</w:t>
            </w:r>
          </w:p>
        </w:tc>
        <w:tc>
          <w:tcPr>
            <w:tcW w:type="dxa" w:w="2340"/>
            <w:shd w:fill="FFFFFF" w:val="clear"/>
          </w:tcPr>
          <w:p>
            <w:r>
              <w:t>Very High</w:t>
            </w:r>
          </w:p>
        </w:tc>
        <w:tc>
          <w:tcPr>
            <w:tcW w:type="dxa" w:w="2340"/>
            <w:shd w:fill="FFFFFF" w:val="clear"/>
          </w:tcPr>
          <w:p>
            <w:r>
              <w:t>$204,886,097</w:t>
            </w:r>
          </w:p>
        </w:tc>
      </w:tr>
      <w:tr>
        <w:tc>
          <w:tcPr>
            <w:tcW w:type="dxa" w:w="2340"/>
            <w:shd w:fill="F2F2F2" w:val="clear"/>
          </w:tcPr>
          <w:p>
            <w:r>
              <w:t>Inland Flooding</w:t>
            </w:r>
          </w:p>
        </w:tc>
        <w:tc>
          <w:tcPr>
            <w:tcW w:type="dxa" w:w="2340"/>
            <w:shd w:fill="F2F2F2" w:val="clear"/>
          </w:tcPr>
          <w:p>
            <w:r>
              <w:t>86.1</w:t>
            </w:r>
          </w:p>
        </w:tc>
        <w:tc>
          <w:tcPr>
            <w:tcW w:type="dxa" w:w="2340"/>
            <w:shd w:fill="F2F2F2" w:val="clear"/>
          </w:tcPr>
          <w:p>
            <w:r>
              <w:t>Very High</w:t>
            </w:r>
          </w:p>
        </w:tc>
        <w:tc>
          <w:tcPr>
            <w:tcW w:type="dxa" w:w="2340"/>
            <w:shd w:fill="F2F2F2" w:val="clear"/>
          </w:tcPr>
          <w:p>
            <w:r>
              <w:t>$186,949,581</w:t>
            </w:r>
          </w:p>
        </w:tc>
      </w:tr>
      <w:tr>
        <w:tc>
          <w:tcPr>
            <w:tcW w:type="dxa" w:w="2340"/>
            <w:shd w:fill="FFFFFF" w:val="clear"/>
          </w:tcPr>
          <w:p>
            <w:r>
              <w:t>Landslide</w:t>
            </w:r>
          </w:p>
        </w:tc>
        <w:tc>
          <w:tcPr>
            <w:tcW w:type="dxa" w:w="2340"/>
            <w:shd w:fill="FFFFFF" w:val="clear"/>
          </w:tcPr>
          <w:p>
            <w:r>
              <w:t>84.8</w:t>
            </w:r>
          </w:p>
        </w:tc>
        <w:tc>
          <w:tcPr>
            <w:tcW w:type="dxa" w:w="2340"/>
            <w:shd w:fill="FFFFFF" w:val="clear"/>
          </w:tcPr>
          <w:p>
            <w:r>
              <w:t>Very High</w:t>
            </w:r>
          </w:p>
        </w:tc>
        <w:tc>
          <w:tcPr>
            <w:tcW w:type="dxa" w:w="2340"/>
            <w:shd w:fill="FFFFFF" w:val="clear"/>
          </w:tcPr>
          <w:p>
            <w:r>
              <w:t>$1,788,069</w:t>
            </w:r>
          </w:p>
        </w:tc>
      </w:tr>
      <w:tr>
        <w:tc>
          <w:tcPr>
            <w:tcW w:type="dxa" w:w="2340"/>
            <w:shd w:fill="F2F2F2" w:val="clear"/>
          </w:tcPr>
          <w:p>
            <w:r>
              <w:t>Heat Wave</w:t>
            </w:r>
          </w:p>
        </w:tc>
        <w:tc>
          <w:tcPr>
            <w:tcW w:type="dxa" w:w="2340"/>
            <w:shd w:fill="F2F2F2" w:val="clear"/>
          </w:tcPr>
          <w:p>
            <w:r>
              <w:t>77.2</w:t>
            </w:r>
          </w:p>
        </w:tc>
        <w:tc>
          <w:tcPr>
            <w:tcW w:type="dxa" w:w="2340"/>
            <w:shd w:fill="F2F2F2" w:val="clear"/>
          </w:tcPr>
          <w:p>
            <w:r>
              <w:t>Relatively High</w:t>
            </w:r>
          </w:p>
        </w:tc>
        <w:tc>
          <w:tcPr>
            <w:tcW w:type="dxa" w:w="2340"/>
            <w:shd w:fill="F2F2F2" w:val="clear"/>
          </w:tcPr>
          <w:p>
            <w:r>
              <w:t>$21,377,574</w:t>
            </w:r>
          </w:p>
        </w:tc>
      </w:tr>
    </w:tbl>
    <w:p>
      <w:r>
        <w:br w:type="page"/>
      </w:r>
    </w:p>
    <w:p>
      <w:pPr>
        <w:pStyle w:val="Heading2"/>
      </w:pPr>
      <w:r>
        <w:t>Structural Policy Asks</w:t>
      </w:r>
    </w:p>
    <w:p>
      <w:pPr>
        <w:pStyle w:val="HSBody"/>
      </w:pPr>
      <w:r>
        <w:t>The following structural policy changes would advance climate resilience funding for Colorado River Indian Tribes of the Colorado River Indian Reservation, Arizona and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Colorado River Indian Tribes of the Colorado River Indian Reservation, Arizona and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Colorado River Indian Tribes of the Colorado River Indian Reservation, Arizona and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