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Delaware Nation,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Delaware Nation,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Delaware Nation,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$6,501,542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$1,745,567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$64,447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$1,810,014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Delaware Nation, Oklahoma generated an estimated $3,258,025-$4,344,034 in regional economic activity (BEA RIMS II methodology, output multiplier range 1.8-2.4x), supporting approximately 14-27 jobs (BLS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Delaware Nation, Oklahoma generated an estimated $3,258,025-$4,344,034 in regional economic activity (BEA RIMS II methodology, output multiplier range 1.8-2.4x), supporting approximately 14-27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Delaware Nation,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Delaware Nation,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Delaware Nation,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