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pPr>
        <w:pStyle w:val="Heading1"/>
      </w:pPr>
      <w:r>
        <w:t>FY26 Climate Resilience Program Priorities</w:t>
      </w:r>
    </w:p>
    <w:p>
      <w:pPr>
        <w:pStyle w:val="HSTitle"/>
      </w:pPr>
      <w:r>
        <w:t>Fort McDowell Yavapai Nation, Arizona</w:t>
      </w:r>
    </w:p>
    <w:p>
      <w:pPr>
        <w:pStyle w:val="HSBody"/>
      </w:pPr>
      <w:r>
        <w:t>Prepared for the offices of: 2 Senators, 1 Representative</w:t>
      </w:r>
    </w:p>
    <w:p>
      <w:pPr>
        <w:pStyle w:val="HSBody"/>
      </w:pPr>
      <w:r>
        <w:t>State(s): AZ</w:t>
      </w:r>
    </w:p>
    <w:p>
      <w:pPr>
        <w:pStyle w:val="HSBody"/>
      </w:pPr>
      <w:r>
        <w:t>Ecoregion(s): southwest</w:t>
      </w:r>
    </w:p>
    <w:p>
      <w:pPr>
        <w:pStyle w:val="HSBody"/>
      </w:pPr>
      <w:r>
        <w:t>Congressional Session: 119</w:t>
      </w:r>
    </w:p>
    <w:p>
      <w:pPr>
        <w:pStyle w:val="HSBody"/>
      </w:pPr>
      <w:r>
        <w:t>Generated: 2026-02-22</w:t>
      </w:r>
    </w:p>
    <w:p>
      <w:pPr>
        <w:pStyle w:val="HSSmall"/>
        <w:jc w:val="center"/>
      </w:pPr>
      <w:r>
        <w:t>For Congressional Office Use</w:t>
      </w:r>
    </w:p>
    <w:p>
      <w:r>
        <w:br w:type="page"/>
      </w:r>
    </w:p>
    <w:p>
      <w:pPr>
        <w:pStyle w:val="Heading2"/>
      </w:pPr>
      <w:r>
        <w:t>Program Hot Sheets</w:t>
      </w:r>
    </w:p>
    <w:p>
      <w:pPr>
        <w:pStyle w:val="HSBody"/>
      </w:pPr>
      <w:r>
        <w:t>1.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2.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>3.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4. USDA Wildfire Defense Grants</w:t>
      </w:r>
      <w:r>
        <w:t xml:space="preserve">  </w:t>
      </w:r>
      <w:r>
        <w:rPr>
          <w:color w:val="4B5563"/>
          <w:sz w:val="16"/>
        </w:rPr>
        <w:t>[Stable but Vulnerable]</w:t>
      </w:r>
    </w:p>
    <w:p>
      <w:pPr>
        <w:pStyle w:val="HSBody"/>
      </w:pPr>
      <w:r>
        <w:t>5. FEMA Tribal Mitigation Plans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6. EPA GAP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7. DOE Indian Energy</w:t>
      </w:r>
      <w:r>
        <w:t xml:space="preserve">  </w:t>
      </w:r>
      <w:r>
        <w:rPr>
          <w:color w:val="4B5563"/>
          <w:sz w:val="16"/>
        </w:rPr>
        <w:t>[Uncertain]</w:t>
      </w:r>
    </w:p>
    <w:p>
      <w:pPr>
        <w:pStyle w:val="HSBody"/>
      </w:pPr>
      <w:r>
        <w:t>8. HUD IHBG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9. FEMA HMGP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10. FEMA FMA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11. EPA STAG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12. DOT PROTECT</w:t>
      </w:r>
      <w:r>
        <w:t xml:space="preserve">  </w:t>
      </w:r>
      <w:r>
        <w:rPr>
          <w:color w:val="4B5563"/>
          <w:sz w:val="16"/>
        </w:rPr>
        <w:t>[Secure]</w:t>
      </w:r>
    </w:p>
    <w:p>
      <w:pPr>
        <w:pStyle w:val="HSBody"/>
      </w:pPr>
      <w:r>
        <w:t>This packet contains 12 program analyses tailored to Fort McDowell Yavapai Nation, Arizona's climate risk profile and geographic context.</w:t>
      </w:r>
    </w:p>
    <w:p>
      <w:r>
        <w:br w:type="page"/>
      </w:r>
    </w:p>
    <w:p>
      <w:pPr>
        <w:pStyle w:val="Heading2"/>
      </w:pPr>
      <w:r>
        <w:t>Executive Summary</w:t>
      </w:r>
    </w:p>
    <w:p>
      <w:pPr>
        <w:pStyle w:val="HSTitle"/>
      </w:pPr>
      <w:r>
        <w:t>Fort McDowell Yavapai Nation, Arizona -- AZ</w:t>
      </w:r>
    </w:p>
    <w:p>
      <w:pPr>
        <w:pStyle w:val="HSBody"/>
      </w:pPr>
      <w:r>
        <w:t>Top Climate Hazards: Wildfire, Inland Flooding, Lightning</w:t>
      </w:r>
    </w:p>
    <w:p>
      <w:pPr>
        <w:pStyle w:val="HSBody"/>
      </w:pPr>
      <w:r>
        <w:t>Total Federal Climate Resilience Funding: $3,583,427</w:t>
      </w:r>
    </w:p>
    <w:p>
      <w:pPr>
        <w:pStyle w:val="HSBody"/>
      </w:pPr>
      <w:r>
        <w:t>19 federal climate resilience award(s) on record.</w:t>
      </w:r>
    </w:p>
    <w:p>
      <w:pPr>
        <w:pStyle w:val="HSBody"/>
      </w:pPr>
      <w:r>
        <w:t xml:space="preserve"> 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 xml:space="preserve"> 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 xml:space="preserve"> 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2 Senator(s) and 1 Representative(s) across 1 district(s)</w:t>
      </w:r>
    </w:p>
    <w:p>
      <w:pPr>
        <w:pStyle w:val="HSBody"/>
      </w:pPr>
      <w:r>
        <w:t>5 structural policy asks identified</w:t>
      </w:r>
    </w:p>
    <w:p>
      <w:r>
        <w:br w:type="page"/>
      </w:r>
    </w:p>
    <w:p>
      <w:pPr>
        <w:pStyle w:val="Heading2"/>
      </w:pPr>
      <w:r>
        <w:t>Relevant Legislation</w:t>
      </w:r>
      <w:r>
        <w:rPr>
          <w:color w:val="4B5563"/>
          <w:sz w:val="16"/>
        </w:rPr>
        <w:t xml:space="preserve"> [LOW]</w:t>
      </w:r>
    </w:p>
    <w:p>
      <w:pPr>
        <w:pStyle w:val="HSBody"/>
      </w:pPr>
      <w:r>
        <w:t>No tracked legislation identified in the current session.</w:t>
      </w:r>
    </w:p>
    <w:p>
      <w:r>
        <w:br w:type="page"/>
      </w:r>
    </w:p>
    <w:p>
      <w:pPr>
        <w:pStyle w:val="Heading2"/>
      </w:pPr>
      <w:r>
        <w:t>Congressional Delegation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rPr>
          <w:tblHeader/>
        </w:trPr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Name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Role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State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District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Relevant Committees</w:t>
            </w:r>
          </w:p>
        </w:tc>
      </w:tr>
      <w:tr>
        <w:tc>
          <w:tcPr>
            <w:tcW w:type="dxa" w:w="1872"/>
            <w:shd w:fill="F2F2F2" w:val="clear"/>
          </w:tcPr>
          <w:p>
            <w:r>
              <w:t>Sen. Mark Kelly (D-AZ)</w:t>
            </w:r>
          </w:p>
        </w:tc>
        <w:tc>
          <w:tcPr>
            <w:tcW w:type="dxa" w:w="1872"/>
            <w:shd w:fill="F2F2F2" w:val="clear"/>
          </w:tcPr>
          <w:p>
            <w:r>
              <w:t>Senator</w:t>
            </w:r>
          </w:p>
        </w:tc>
        <w:tc>
          <w:tcPr>
            <w:tcW w:type="dxa" w:w="1872"/>
            <w:shd w:fill="F2F2F2" w:val="clear"/>
          </w:tcPr>
          <w:p>
            <w:r>
              <w:t>AZ</w:t>
            </w:r>
          </w:p>
        </w:tc>
        <w:tc>
          <w:tcPr>
            <w:tcW w:type="dxa" w:w="1872"/>
            <w:shd w:fill="F2F2F2" w:val="clear"/>
          </w:tcPr>
          <w:p>
            <w:r>
              <w:t>At-Large</w:t>
            </w:r>
          </w:p>
        </w:tc>
        <w:tc>
          <w:tcPr>
            <w:tcW w:type="dxa" w:w="1872"/>
            <w:shd w:fill="F2F2F2" w:val="clear"/>
          </w:tcPr>
          <w:p>
            <w:r/>
          </w:p>
        </w:tc>
      </w:tr>
      <w:tr>
        <w:tc>
          <w:tcPr>
            <w:tcW w:type="dxa" w:w="1872"/>
            <w:shd w:fill="FFFFFF" w:val="clear"/>
          </w:tcPr>
          <w:p>
            <w:r>
              <w:t>Sen. Ruben Gallego (D-AZ)</w:t>
            </w:r>
          </w:p>
        </w:tc>
        <w:tc>
          <w:tcPr>
            <w:tcW w:type="dxa" w:w="1872"/>
            <w:shd w:fill="FFFFFF" w:val="clear"/>
          </w:tcPr>
          <w:p>
            <w:r>
              <w:t>Senator</w:t>
            </w:r>
          </w:p>
        </w:tc>
        <w:tc>
          <w:tcPr>
            <w:tcW w:type="dxa" w:w="1872"/>
            <w:shd w:fill="FFFFFF" w:val="clear"/>
          </w:tcPr>
          <w:p>
            <w:r>
              <w:t>AZ</w:t>
            </w:r>
          </w:p>
        </w:tc>
        <w:tc>
          <w:tcPr>
            <w:tcW w:type="dxa" w:w="1872"/>
            <w:shd w:fill="FFFFFF" w:val="clear"/>
          </w:tcPr>
          <w:p>
            <w:r>
              <w:t>At-Large</w:t>
            </w:r>
          </w:p>
        </w:tc>
        <w:tc>
          <w:tcPr>
            <w:tcW w:type="dxa" w:w="1872"/>
            <w:shd w:fill="FFFFFF" w:val="clear"/>
          </w:tcPr>
          <w:p>
            <w:r>
              <w:t>Senate Committee on Energy and Natural Resources; Energy</w:t>
            </w:r>
          </w:p>
        </w:tc>
      </w:tr>
      <w:tr>
        <w:tc>
          <w:tcPr>
            <w:tcW w:type="dxa" w:w="1872"/>
            <w:shd w:fill="F2F2F2" w:val="clear"/>
          </w:tcPr>
          <w:p>
            <w:r>
              <w:t>Rep. David Schweikert (R-AZ-01)</w:t>
            </w:r>
          </w:p>
        </w:tc>
        <w:tc>
          <w:tcPr>
            <w:tcW w:type="dxa" w:w="1872"/>
            <w:shd w:fill="F2F2F2" w:val="clear"/>
          </w:tcPr>
          <w:p>
            <w:r>
              <w:t>Representative</w:t>
            </w:r>
          </w:p>
        </w:tc>
        <w:tc>
          <w:tcPr>
            <w:tcW w:type="dxa" w:w="1872"/>
            <w:shd w:fill="F2F2F2" w:val="clear"/>
          </w:tcPr>
          <w:p>
            <w:r>
              <w:t>AZ</w:t>
            </w:r>
          </w:p>
        </w:tc>
        <w:tc>
          <w:tcPr>
            <w:tcW w:type="dxa" w:w="1872"/>
            <w:shd w:fill="F2F2F2" w:val="clear"/>
          </w:tcPr>
          <w:p>
            <w:r>
              <w:t>1</w:t>
            </w:r>
          </w:p>
        </w:tc>
        <w:tc>
          <w:tcPr>
            <w:tcW w:type="dxa" w:w="1872"/>
            <w:shd w:fill="F2F2F2" w:val="clear"/>
          </w:tcPr>
          <w:p>
            <w:r/>
          </w:p>
        </w:tc>
      </w:tr>
    </w:tbl>
    <w:p>
      <w:pPr>
        <w:pStyle w:val="HSBody"/>
      </w:pPr>
      <w:r>
        <w:t>1 members with relevant committee assignments</w:t>
      </w:r>
    </w:p>
    <w:p>
      <w:r>
        <w:br w:type="page"/>
      </w:r>
    </w:p>
    <w:p>
      <w:pPr>
        <w:pStyle w:val="HSTitle"/>
      </w:pPr>
      <w:r>
        <w:t>BIA Tribal Climate Resilience</w:t>
      </w:r>
    </w:p>
    <w:p>
      <w:pPr>
        <w:pStyle w:val="HSSubtitle"/>
      </w:pPr>
      <w:r>
        <w:t>BIA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FY26 funded at $34.291M. Core vehicle; focus on permanent multi-year stability.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Core BIA program funding Tribal climate adaptation planning and implementation.</w:t>
      </w:r>
    </w:p>
    <w:p>
      <w:pPr>
        <w:pStyle w:val="HSBody"/>
      </w:pPr>
      <w:r>
        <w:t>Federal Home: Bureau of Indian Affairs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Fort McDowell Yavapai Nation, Arizona has not yet received funding through BIA Tribal Climate Resilience.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93.0 -- (Very High)</w:t>
      </w:r>
    </w:p>
    <w:p>
      <w:pPr>
        <w:pStyle w:val="HSBody"/>
      </w:pPr>
      <w:r>
        <w:t>Inland Flooding -- Risk Score: 87.3 -- (Very High)</w:t>
      </w:r>
    </w:p>
    <w:p>
      <w:pPr>
        <w:pStyle w:val="HSBody"/>
      </w:pPr>
      <w:r>
        <w:t>Lightning -- Risk Score: 85.7 --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BIA Tribal Climate Resilience:</w:t>
      </w:r>
    </w:p>
    <w:p>
      <w:pPr>
        <w:pStyle w:val="HSBody"/>
      </w:pPr>
      <w:r>
        <w:t>Based on program averages, a successful BIA Tribal Climate Resilience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Fort McDowell Yavapai Nation, Arizona's wildfire risk profile reinforces the economic case for continued federal investment in BIA Tribal Climate Resilience.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Core BIA program funding Tribal climate adaptation planning and implementation.</w:t>
      </w:r>
    </w:p>
    <w:p>
      <w:pPr>
        <w:pStyle w:val="HSCalloutDetail"/>
        <w:shd w:fill="EEF2FF" w:val="clear"/>
      </w:pPr>
      <w:r>
        <w:t>WHY: Fort McDowell Yavapai Nation, Arizona's Wildfire, Inland Flooding and Lightning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BIA Tribal Climate Resilience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Mark Kelly (D-AZ)</w:t>
      </w:r>
    </w:p>
    <w:p>
      <w:pPr>
        <w:pStyle w:val="HSBody"/>
      </w:pPr>
      <w:r>
        <w:t>Sen. Ruben Gallego (D-AZ)</w:t>
      </w:r>
    </w:p>
    <w:p>
      <w:pPr>
        <w:pStyle w:val="HSBody"/>
      </w:pPr>
      <w:r>
        <w:rPr>
          <w:b/>
        </w:rPr>
        <w:t>Sen. Ruben Gallego (D-AZ) sits on Senate Committee on Energy and Natural Resources -- direct influence on this program</w:t>
      </w:r>
    </w:p>
    <w:p>
      <w:pPr>
        <w:pStyle w:val="HSBody"/>
      </w:pPr>
      <w:r>
        <w:rPr>
          <w:b/>
        </w:rPr>
        <w:t>Sen. Ruben Gallego (D-AZ) sits on Energy -- direct influence on this program</w:t>
      </w:r>
    </w:p>
    <w:p>
      <w:pPr>
        <w:pStyle w:val="HSBody"/>
      </w:pPr>
      <w:r>
        <w:t>Rep. David Schweikert (R-AZ-01)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BRIC</w:t>
      </w:r>
    </w:p>
    <w:p>
      <w:pPr>
        <w:pStyle w:val="HSSubtitle"/>
      </w:pPr>
      <w:r>
        <w:t>FEMA | Competitive | One-Time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Flagged -- Requires Specialist Attention</w:t>
      </w:r>
    </w:p>
    <w:p>
      <w:pPr>
        <w:pStyle w:val="HSBody"/>
      </w:pPr>
      <w:r>
        <w:t>FEMA announced termination of BRIC on April 4, 2025. FY24/25 cycles canceled. ~$882M unobligated IIJA funds being returned to Treasury. Requires immediate specialist engagement.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pre-disaster mitigation competitive grant program.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Fort McDowell Yavapai Nation, Arizona has not yet received funding through FEMA BRIC.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93.0 -- (Very High)</w:t>
      </w:r>
    </w:p>
    <w:p>
      <w:pPr>
        <w:pStyle w:val="HSBody"/>
      </w:pPr>
      <w:r>
        <w:t>Inland Flooding -- Risk Score: 87.3 -- (Very High)</w:t>
      </w:r>
    </w:p>
    <w:p>
      <w:pPr>
        <w:pStyle w:val="HSBody"/>
      </w:pPr>
      <w:r>
        <w:t>Lightning -- Risk Score: 85.7 --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FEMA BRIC:</w:t>
      </w:r>
    </w:p>
    <w:p>
      <w:pPr>
        <w:pStyle w:val="HSBody"/>
      </w:pPr>
      <w:r>
        <w:t>Based on program averages, a successful FEMA BRIC application could generate an estimated $900,000-$1,200,000 in regional economic impact, supporting approximately 4-8 jobs (BEA RIMS II methodology, output multiplier range 1.8-2.4x; BLS employment requirements methodology).</w:t>
      </w:r>
    </w:p>
    <w:p>
      <w:pPr>
        <w:pStyle w:val="HSBody"/>
      </w:pPr>
      <w:r>
        <w:t>Hazard Alignment: Fort McDowell Yavapai Nation, Arizona's wildfire risk profile reinforces the economic case for continued federal investment in FEMA BRIC.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pre-disaster mitigation competitive grant program.</w:t>
      </w:r>
    </w:p>
    <w:p>
      <w:pPr>
        <w:pStyle w:val="HSCalloutDetail"/>
        <w:shd w:fill="EEF2FF" w:val="clear"/>
      </w:pPr>
      <w:r>
        <w:t>WHY: Fort McDowell Yavapai Nation, Arizona's Wildfire, Inland Flooding and Lightning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FEMA BRIC application could generate an estimated $900,000-$1,200,000 in regional economic impact, supporting approximately 4-8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Mark Kelly (D-AZ)</w:t>
      </w:r>
    </w:p>
    <w:p>
      <w:pPr>
        <w:pStyle w:val="HSBody"/>
      </w:pPr>
      <w:r>
        <w:t>Sen. Ruben Gallego (D-AZ)</w:t>
      </w:r>
    </w:p>
    <w:p>
      <w:pPr>
        <w:pStyle w:val="HSBody"/>
      </w:pPr>
      <w:r>
        <w:rPr>
          <w:b/>
        </w:rPr>
        <w:t>Sen. Ruben Gallego (D-AZ) sits on Senate Committee on Energy and Natural Resources -- direct influence on this program</w:t>
      </w:r>
    </w:p>
    <w:p>
      <w:pPr>
        <w:pStyle w:val="HSBody"/>
      </w:pPr>
      <w:r>
        <w:rPr>
          <w:b/>
        </w:rPr>
        <w:t>Sen. Ruben Gallego (D-AZ) sits on Energy -- direct influence on this program</w:t>
      </w:r>
    </w:p>
    <w:p>
      <w:pPr>
        <w:pStyle w:val="HSBody"/>
      </w:pPr>
      <w:r>
        <w:t>Rep. David Schweikert (R-AZ-01)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IRS Elective Pay</w:t>
      </w:r>
    </w:p>
    <w:p>
      <w:pPr>
        <w:pStyle w:val="HSSubtitle"/>
      </w:pPr>
      <w:r>
        <w:t>Treasury/IRS | Direct | Mandatory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Final regulations (Jan 2026) confirm Tribal instrumentalities, but IRA §6417 faces active reconciliation repeal threat. Bipartisan defense coalition needed.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IRA provision allowing Tribes to receive clean energy tax credits as direct payments. Subject to reconciliation repeal threat.</w:t>
      </w:r>
    </w:p>
    <w:p>
      <w:pPr>
        <w:pStyle w:val="HSBody"/>
      </w:pPr>
      <w:r>
        <w:t>Federal Home: Department of the Treasury / 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Fort McDowell Yavapai Nation, Arizona has not yet received funding through IRS Elective Pay.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93.0 -- (Very High)</w:t>
      </w:r>
    </w:p>
    <w:p>
      <w:pPr>
        <w:pStyle w:val="HSBody"/>
      </w:pPr>
      <w:r>
        <w:t>Inland Flooding -- Risk Score: 87.3 -- (Very High)</w:t>
      </w:r>
    </w:p>
    <w:p>
      <w:pPr>
        <w:pStyle w:val="HSBody"/>
      </w:pPr>
      <w:r>
        <w:t>Lightning -- Risk Score: 85.7 --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IRS Elective Pay:</w:t>
      </w:r>
    </w:p>
    <w:p>
      <w:pPr>
        <w:pStyle w:val="HSBody"/>
      </w:pPr>
      <w:r>
        <w:t>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Body"/>
      </w:pPr>
      <w:r>
        <w:t>Hazard Alignment: Fort McDowell Yavapai Nation, Arizona's wildfire risk profile reinforces the economic case for continued federal investment in IRS Elective Pay.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IRA provision allowing Tribes to receive clean energy tax credits as direct payments. Subject to reconciliation repeal threat.</w:t>
      </w:r>
    </w:p>
    <w:p>
      <w:pPr>
        <w:pStyle w:val="HSCalloutDetail"/>
        <w:shd w:fill="EEF2FF" w:val="clear"/>
      </w:pPr>
      <w:r>
        <w:t>WHY: Fort McDowell Yavapai Nation, Arizona's Wildfire, Inland Flooding and Lightning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Mark Kelly (D-AZ)</w:t>
      </w:r>
    </w:p>
    <w:p>
      <w:pPr>
        <w:pStyle w:val="HSBody"/>
      </w:pPr>
      <w:r>
        <w:t>Sen. Ruben Gallego (D-AZ)</w:t>
      </w:r>
    </w:p>
    <w:p>
      <w:pPr>
        <w:pStyle w:val="HSBody"/>
      </w:pPr>
      <w:r>
        <w:rPr>
          <w:b/>
        </w:rPr>
        <w:t>Sen. Ruben Gallego (D-AZ) sits on Senate Committee on Energy and Natural Resources -- direct influence on this program</w:t>
      </w:r>
    </w:p>
    <w:p>
      <w:pPr>
        <w:pStyle w:val="HSBody"/>
      </w:pPr>
      <w:r>
        <w:rPr>
          <w:b/>
        </w:rPr>
        <w:t>Sen. Ruben Gallego (D-AZ) sits on Energy -- direct influence on this program</w:t>
      </w:r>
    </w:p>
    <w:p>
      <w:pPr>
        <w:pStyle w:val="HSBody"/>
      </w:pPr>
      <w:r>
        <w:t>Rep. David Schweikert (R-AZ-01)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USDA Wildfire Defense Grants</w:t>
      </w:r>
    </w:p>
    <w:p>
      <w:pPr>
        <w:pStyle w:val="HSSubtitle"/>
      </w:pPr>
      <w:r>
        <w:t>USFS | Competitive | One-Time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Stable but Vulnerable</w:t>
      </w:r>
    </w:p>
    <w:p>
      <w:pPr>
        <w:pStyle w:val="HSBody"/>
      </w:pPr>
      <w:r>
        <w:t>High Tribal participation but subject to Forest Management reforms (EO 14225).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USDA grants for community wildfire defense and fuels management.</w:t>
      </w:r>
    </w:p>
    <w:p>
      <w:pPr>
        <w:pStyle w:val="HSBody"/>
      </w:pPr>
      <w:r>
        <w:t>Federal Home: US Forest Service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Fort McDowell Yavapai Nation, Arizona has not yet received funding through USDA Wildfire Defense Grants.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93.0 -- (Very High)</w:t>
      </w:r>
    </w:p>
    <w:p>
      <w:pPr>
        <w:pStyle w:val="HSBody"/>
      </w:pPr>
      <w:r>
        <w:t>Inland Flooding -- Risk Score: 87.3 -- (Very High)</w:t>
      </w:r>
    </w:p>
    <w:p>
      <w:pPr>
        <w:pStyle w:val="HSBody"/>
      </w:pPr>
      <w:r>
        <w:t>Lightning -- Risk Score: 85.7 --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USDA Wildfire Defense Grants:</w:t>
      </w:r>
    </w:p>
    <w:p>
      <w:pPr>
        <w:pStyle w:val="HSBody"/>
      </w:pPr>
      <w:r>
        <w:t>Based on program averages, a successful USDA Wildfire Defense Grants application could generate an estimated $630,000-$840,000 in regional economic impact, supporting approximately 3-5 jobs (BEA RIMS II methodology, output multiplier range 1.8-2.4x; BLS employment requirements methodology).</w:t>
      </w:r>
    </w:p>
    <w:p>
      <w:pPr>
        <w:pStyle w:val="HSBody"/>
      </w:pPr>
      <w:r>
        <w:t>Hazard Alignment: Fort McDowell Yavapai Nation, Arizona's wildfire risk profile reinforces the economic case for continued federal investment in USDA Wildfire Defense Grants.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USDA grants for community wildfire defense and fuels management.</w:t>
      </w:r>
    </w:p>
    <w:p>
      <w:pPr>
        <w:pStyle w:val="HSCalloutDetail"/>
        <w:shd w:fill="EEF2FF" w:val="clear"/>
      </w:pPr>
      <w:r>
        <w:t>WHY: Fort McDowell Yavapai Nation, Arizona's Wildfire, Inland Flooding and Lightning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USDA Wildfire Defense Grants application could generate an estimated $630,000-$840,000 in regional economic impact, supporting approximately 3-5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Mark Kelly (D-AZ)</w:t>
      </w:r>
    </w:p>
    <w:p>
      <w:pPr>
        <w:pStyle w:val="HSBody"/>
      </w:pPr>
      <w:r>
        <w:t>Sen. Ruben Gallego (D-AZ)</w:t>
      </w:r>
    </w:p>
    <w:p>
      <w:pPr>
        <w:pStyle w:val="HSBody"/>
      </w:pPr>
      <w:r>
        <w:rPr>
          <w:b/>
        </w:rPr>
        <w:t>Sen. Ruben Gallego (D-AZ) sits on Senate Committee on Energy and Natural Resources -- direct influence on this program</w:t>
      </w:r>
    </w:p>
    <w:p>
      <w:pPr>
        <w:pStyle w:val="HSBody"/>
      </w:pPr>
      <w:r>
        <w:rPr>
          <w:b/>
        </w:rPr>
        <w:t>Sen. Ruben Gallego (D-AZ) sits on Energy -- direct influence on this program</w:t>
      </w:r>
    </w:p>
    <w:p>
      <w:pPr>
        <w:pStyle w:val="HSBody"/>
      </w:pPr>
      <w:r>
        <w:t>Rep. David Schweikert (R-AZ-01)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Tribal Mitigation Plans</w:t>
      </w:r>
    </w:p>
    <w:p>
      <w:pPr>
        <w:pStyle w:val="HSSubtitle"/>
      </w:pPr>
      <w:r>
        <w:t>FEMA | Direct | Discretionary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Loss of BRIC as primary funding incentive reduces plan ROI; statutory requirement remains but funding for planning is opaque.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support for Tribal hazard mitigation planning.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Fort McDowell Yavapai Nation, Arizona has not yet received funding through FEMA Tribal Mitigation Plans.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93.0 -- (Very High)</w:t>
      </w:r>
    </w:p>
    <w:p>
      <w:pPr>
        <w:pStyle w:val="HSBody"/>
      </w:pPr>
      <w:r>
        <w:t>Inland Flooding -- Risk Score: 87.3 -- (Very High)</w:t>
      </w:r>
    </w:p>
    <w:p>
      <w:pPr>
        <w:pStyle w:val="HSBody"/>
      </w:pPr>
      <w:r>
        <w:t>Lightning -- Risk Score: 85.7 --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FEMA Tribal Mitigation Plans:</w:t>
      </w:r>
    </w:p>
    <w:p>
      <w:pPr>
        <w:pStyle w:val="HSBody"/>
      </w:pPr>
      <w:r>
        <w:t>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Fort McDowell Yavapai Nation, Arizona's wildfire risk profile reinforces the economic case for continued federal investment in FEMA Tribal Mitigation Plans.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support for Tribal hazard mitigation planning.</w:t>
      </w:r>
    </w:p>
    <w:p>
      <w:pPr>
        <w:pStyle w:val="HSCalloutDetail"/>
        <w:shd w:fill="EEF2FF" w:val="clear"/>
      </w:pPr>
      <w:r>
        <w:t>WHY: Fort McDowell Yavapai Nation, Arizona's Wildfire, Inland Flooding and Lightning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Mark Kelly (D-AZ)</w:t>
      </w:r>
    </w:p>
    <w:p>
      <w:pPr>
        <w:pStyle w:val="HSBody"/>
      </w:pPr>
      <w:r>
        <w:t>Sen. Ruben Gallego (D-AZ)</w:t>
      </w:r>
    </w:p>
    <w:p>
      <w:pPr>
        <w:pStyle w:val="HSBody"/>
      </w:pPr>
      <w:r>
        <w:rPr>
          <w:b/>
        </w:rPr>
        <w:t>Sen. Ruben Gallego (D-AZ) sits on Senate Committee on Energy and Natural Resources -- direct influence on this program</w:t>
      </w:r>
    </w:p>
    <w:p>
      <w:pPr>
        <w:pStyle w:val="HSBody"/>
      </w:pPr>
      <w:r>
        <w:rPr>
          <w:b/>
        </w:rPr>
        <w:t>Sen. Ruben Gallego (D-AZ) sits on Energy -- direct influence on this program</w:t>
      </w:r>
    </w:p>
    <w:p>
      <w:pPr>
        <w:pStyle w:val="HSBody"/>
      </w:pPr>
      <w:r>
        <w:t>Rep. David Schweikert (R-AZ-01)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EPA GAP</w:t>
      </w:r>
    </w:p>
    <w:p>
      <w:pPr>
        <w:pStyle w:val="HSSubtitle"/>
      </w:pPr>
      <w:r>
        <w:t>EPA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program under Indian Environmental GAP Act of 1992. Annual appropriations; stable baseline.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EPA General Assistance Program providing base environmental capacity to Tribes.</w:t>
      </w:r>
    </w:p>
    <w:p>
      <w:pPr>
        <w:pStyle w:val="HSBody"/>
      </w:pPr>
      <w:r>
        <w:t>Federal Home: Environmental Protection Agency</w:t>
      </w:r>
    </w:p>
    <w:p>
      <w:pPr>
        <w:pStyle w:val="HSSection"/>
      </w:pPr>
      <w:r>
        <w:t>Award History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Program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CFDA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Obligation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Period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epa_gap</w:t>
            </w:r>
          </w:p>
        </w:tc>
        <w:tc>
          <w:tcPr>
            <w:tcW w:type="dxa" w:w="2340"/>
            <w:shd w:fill="F2F2F2" w:val="clear"/>
          </w:tcPr>
          <w:p>
            <w:r>
              <w:t>66.926</w:t>
            </w:r>
          </w:p>
        </w:tc>
        <w:tc>
          <w:tcPr>
            <w:tcW w:type="dxa" w:w="2340"/>
            <w:shd w:fill="F2F2F2" w:val="clear"/>
          </w:tcPr>
          <w:p>
            <w:r>
              <w:t>$381,230</w:t>
            </w:r>
          </w:p>
        </w:tc>
        <w:tc>
          <w:tcPr>
            <w:tcW w:type="dxa" w:w="2340"/>
            <w:shd w:fill="F2F2F2" w:val="clear"/>
          </w:tcPr>
          <w:p>
            <w:r>
              <w:t>2022-10-01 - 2026-09-30</w:t>
            </w:r>
          </w:p>
        </w:tc>
      </w:tr>
    </w:tbl>
    <w:p>
      <w:pPr>
        <w:pStyle w:val="HSBody"/>
      </w:pPr>
      <w:r>
        <w:rPr>
          <w:b/>
        </w:rPr>
        <w:t>Total: $381,230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93.0 -- (Very High)</w:t>
      </w:r>
    </w:p>
    <w:p>
      <w:pPr>
        <w:pStyle w:val="HSBody"/>
      </w:pPr>
      <w:r>
        <w:t>Inland Flooding -- Risk Score: 87.3 -- (Very High)</w:t>
      </w:r>
    </w:p>
    <w:p>
      <w:pPr>
        <w:pStyle w:val="HSBody"/>
      </w:pPr>
      <w:r>
        <w:t>Lightning -- Risk Score: 85.7 --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EPA GAP funding to Fort McDowell Yavapai Nation, Arizona generated an estimated $686,214-$914,952 in regional economic activity (BEA RIMS II methodology, output multiplier range 1.8-2.4x), supporting approximately 3-6 jobs (BLS employment requirements methodology).</w:t>
      </w:r>
    </w:p>
    <w:p>
      <w:pPr>
        <w:pStyle w:val="HSBody"/>
      </w:pPr>
      <w:r>
        <w:t>Hazard Alignment: Fort McDowell Yavapai Nation, Arizona's wildfire risk profile reinforces the economic case for continued federal investment in EPA GAP.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EPA General Assistance Program providing base environmental capacity to Tribes.</w:t>
      </w:r>
    </w:p>
    <w:p>
      <w:pPr>
        <w:pStyle w:val="HSCalloutDetail"/>
        <w:shd w:fill="EEF2FF" w:val="clear"/>
      </w:pPr>
      <w:r>
        <w:t>WHY: Fort McDowell Yavapai Nation, Arizona's Wildfire, Inland Flooding and Lightning risk makes this program critical for community resilience</w:t>
      </w:r>
    </w:p>
    <w:p>
      <w:pPr>
        <w:pStyle w:val="HSCalloutDetail"/>
        <w:shd w:fill="EEF2FF" w:val="clear"/>
      </w:pPr>
      <w:r>
        <w:t>IMPACT: EPA GAP funding to Fort McDowell Yavapai Nation, Arizona generated an estimated $686,214-$914,952 in regional economic activity (BEA RIMS II methodology, output multiplier range 1.8-2.4x), supporting approximately 3-6 jobs (BLS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EPA GAP; Wildfire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Active awards under EPA GAP; Wildfire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EPA GAP;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Mark Kelly (D-AZ)</w:t>
      </w:r>
    </w:p>
    <w:p>
      <w:pPr>
        <w:pStyle w:val="HSBody"/>
      </w:pPr>
      <w:r>
        <w:t>Sen. Ruben Gallego (D-AZ)</w:t>
      </w:r>
    </w:p>
    <w:p>
      <w:pPr>
        <w:pStyle w:val="HSBody"/>
      </w:pPr>
      <w:r>
        <w:rPr>
          <w:b/>
        </w:rPr>
        <w:t>Sen. Ruben Gallego (D-AZ) sits on Senate Committee on Energy and Natural Resources -- direct influence on this program</w:t>
      </w:r>
    </w:p>
    <w:p>
      <w:pPr>
        <w:pStyle w:val="HSBody"/>
      </w:pPr>
      <w:r>
        <w:rPr>
          <w:b/>
        </w:rPr>
        <w:t>Sen. Ruben Gallego (D-AZ) sits on Energy -- direct influence on this program</w:t>
      </w:r>
    </w:p>
    <w:p>
      <w:pPr>
        <w:pStyle w:val="HSBody"/>
      </w:pPr>
      <w:r>
        <w:t>Rep. David Schweikert (R-AZ-01)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DOE Indian Energy</w:t>
      </w:r>
    </w:p>
    <w:p>
      <w:pPr>
        <w:pStyle w:val="HSSubtitle"/>
      </w:pPr>
      <w:r>
        <w:t>DOE | Direct | Discretionary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Uncertain</w:t>
      </w:r>
    </w:p>
    <w:p>
      <w:pPr>
        <w:pStyle w:val="HSBody"/>
      </w:pPr>
      <w:r>
        <w:t>Active program but DOE reorganization and IRA implementation uncertainty create structural ambiguity.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DOE Office of Indian Energy programs for Tribal energy development.</w:t>
      </w:r>
    </w:p>
    <w:p>
      <w:pPr>
        <w:pStyle w:val="HSBody"/>
      </w:pPr>
      <w:r>
        <w:t>Federal Home: Department of Energy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Fort McDowell Yavapai Nation, Arizona has not yet received funding through DOE Indian Energy.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93.0 -- (Very High)</w:t>
      </w:r>
    </w:p>
    <w:p>
      <w:pPr>
        <w:pStyle w:val="HSBody"/>
      </w:pPr>
      <w:r>
        <w:t>Inland Flooding -- Risk Score: 87.3 -- (Very High)</w:t>
      </w:r>
    </w:p>
    <w:p>
      <w:pPr>
        <w:pStyle w:val="HSBody"/>
      </w:pPr>
      <w:r>
        <w:t>Lightning -- Risk Score: 85.7 --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DOE Indian Energy:</w:t>
      </w:r>
    </w:p>
    <w:p>
      <w:pPr>
        <w:pStyle w:val="HSBody"/>
      </w:pPr>
      <w:r>
        <w:t>Based on program averages, a successful DOE Indian Energy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Body"/>
      </w:pPr>
      <w:r>
        <w:t>Hazard Alignment: Fort McDowell Yavapai Nation, Arizona's wildfire risk profile reinforces the economic case for continued federal investment in DOE Indian Energy.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DOE Office of Indian Energy programs for Tribal energy development.</w:t>
      </w:r>
    </w:p>
    <w:p>
      <w:pPr>
        <w:pStyle w:val="HSCalloutDetail"/>
        <w:shd w:fill="EEF2FF" w:val="clear"/>
      </w:pPr>
      <w:r>
        <w:t>WHY: Fort McDowell Yavapai Nation, Arizona's Wildfire, Inland Flooding and Lightning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DOE Indian Energy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Mark Kelly (D-AZ)</w:t>
      </w:r>
    </w:p>
    <w:p>
      <w:pPr>
        <w:pStyle w:val="HSBody"/>
      </w:pPr>
      <w:r>
        <w:t>Sen. Ruben Gallego (D-AZ)</w:t>
      </w:r>
    </w:p>
    <w:p>
      <w:pPr>
        <w:pStyle w:val="HSBody"/>
      </w:pPr>
      <w:r>
        <w:rPr>
          <w:b/>
        </w:rPr>
        <w:t>Sen. Ruben Gallego (D-AZ) sits on Senate Committee on Energy and Natural Resources -- direct influence on this program</w:t>
      </w:r>
    </w:p>
    <w:p>
      <w:pPr>
        <w:pStyle w:val="HSBody"/>
      </w:pPr>
      <w:r>
        <w:rPr>
          <w:b/>
        </w:rPr>
        <w:t>Sen. Ruben Gallego (D-AZ) sits on Energy -- direct influence on this program</w:t>
      </w:r>
    </w:p>
    <w:p>
      <w:pPr>
        <w:pStyle w:val="HSBody"/>
      </w:pPr>
      <w:r>
        <w:t>Rep. David Schweikert (R-AZ-01)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HUD IHBG</w:t>
      </w:r>
    </w:p>
    <w:p>
      <w:pPr>
        <w:pStyle w:val="HSSubtitle"/>
      </w:pPr>
      <w:r>
        <w:t>HUD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formula program under NAHASDA. Reauthorization pending but baseline funding stable.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HUD Indian Housing Block Grant program under NAHASDA.</w:t>
      </w:r>
    </w:p>
    <w:p>
      <w:pPr>
        <w:pStyle w:val="HSBody"/>
      </w:pPr>
      <w:r>
        <w:t>Federal Home: Department of Housing and Urban Development</w:t>
      </w:r>
    </w:p>
    <w:p>
      <w:pPr>
        <w:pStyle w:val="HSSection"/>
      </w:pPr>
      <w:r>
        <w:t>Award History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Program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CFDA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Obligation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Period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hud_ihbg</w:t>
            </w:r>
          </w:p>
        </w:tc>
        <w:tc>
          <w:tcPr>
            <w:tcW w:type="dxa" w:w="2340"/>
            <w:shd w:fill="F2F2F2" w:val="clear"/>
          </w:tcPr>
          <w:p>
            <w:r>
              <w:t>14.867</w:t>
            </w:r>
          </w:p>
        </w:tc>
        <w:tc>
          <w:tcPr>
            <w:tcW w:type="dxa" w:w="2340"/>
            <w:shd w:fill="F2F2F2" w:val="clear"/>
          </w:tcPr>
          <w:p>
            <w:r>
              <w:t>$1,084,334</w:t>
            </w:r>
          </w:p>
        </w:tc>
        <w:tc>
          <w:tcPr>
            <w:tcW w:type="dxa" w:w="2340"/>
            <w:shd w:fill="F2F2F2" w:val="clear"/>
          </w:tcPr>
          <w:p>
            <w:r>
              <w:t>2023-02-27 - 2034-09-30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hud_ihbg</w:t>
            </w:r>
          </w:p>
        </w:tc>
        <w:tc>
          <w:tcPr>
            <w:tcW w:type="dxa" w:w="2340"/>
            <w:shd w:fill="FFFFFF" w:val="clear"/>
          </w:tcPr>
          <w:p>
            <w:r>
              <w:t>14.867</w:t>
            </w:r>
          </w:p>
        </w:tc>
        <w:tc>
          <w:tcPr>
            <w:tcW w:type="dxa" w:w="2340"/>
            <w:shd w:fill="FFFFFF" w:val="clear"/>
          </w:tcPr>
          <w:p>
            <w:r>
              <w:t>$126,555</w:t>
            </w:r>
          </w:p>
        </w:tc>
        <w:tc>
          <w:tcPr>
            <w:tcW w:type="dxa" w:w="2340"/>
            <w:shd w:fill="FFFFFF" w:val="clear"/>
          </w:tcPr>
          <w:p>
            <w:r>
              <w:t>2021-04-22 - 2026-09-30</w:t>
            </w:r>
          </w:p>
        </w:tc>
      </w:tr>
    </w:tbl>
    <w:p>
      <w:pPr>
        <w:pStyle w:val="HSBody"/>
      </w:pPr>
      <w:r>
        <w:rPr>
          <w:b/>
        </w:rPr>
        <w:t>Total: $1,210,889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93.0 -- (Very High)</w:t>
      </w:r>
    </w:p>
    <w:p>
      <w:pPr>
        <w:pStyle w:val="HSBody"/>
      </w:pPr>
      <w:r>
        <w:t>Inland Flooding -- Risk Score: 87.3 -- (Very High)</w:t>
      </w:r>
    </w:p>
    <w:p>
      <w:pPr>
        <w:pStyle w:val="HSBody"/>
      </w:pPr>
      <w:r>
        <w:t>Lightning -- Risk Score: 85.7 --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HUD IHBG funding to Fort McDowell Yavapai Nation, Arizona generated an estimated $2,179,600-$2,906,134 in regional economic activity (BEA RIMS II methodology, output multiplier range 1.8-2.4x), supporting approximately 10-18 jobs (BLS employment requirements methodology).</w:t>
      </w:r>
    </w:p>
    <w:p>
      <w:pPr>
        <w:pStyle w:val="HSBody"/>
      </w:pPr>
      <w:r>
        <w:t>Hazard Alignment: Fort McDowell Yavapai Nation, Arizona's wildfire risk profile reinforces the economic case for continued federal investment in HUD IHBG.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HUD Indian Housing Block Grant program under NAHASDA.</w:t>
      </w:r>
    </w:p>
    <w:p>
      <w:pPr>
        <w:pStyle w:val="HSCalloutDetail"/>
        <w:shd w:fill="EEF2FF" w:val="clear"/>
      </w:pPr>
      <w:r>
        <w:t>WHY: Fort McDowell Yavapai Nation, Arizona's Wildfire, Inland Flooding and Lightning risk makes this program critical for community resilience</w:t>
      </w:r>
    </w:p>
    <w:p>
      <w:pPr>
        <w:pStyle w:val="HSCalloutDetail"/>
        <w:shd w:fill="EEF2FF" w:val="clear"/>
      </w:pPr>
      <w:r>
        <w:t>IMPACT: HUD IHBG funding to Fort McDowell Yavapai Nation, Arizona generated an estimated $2,179,600-$2,906,134 in regional economic activity (BEA RIMS II methodology, output multiplier range 1.8-2.4x), supporting approximately 10-18 jobs (BLS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HUD IHBG;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Mark Kelly (D-AZ)</w:t>
      </w:r>
    </w:p>
    <w:p>
      <w:pPr>
        <w:pStyle w:val="HSBody"/>
      </w:pPr>
      <w:r>
        <w:t>Sen. Ruben Gallego (D-AZ)</w:t>
      </w:r>
    </w:p>
    <w:p>
      <w:pPr>
        <w:pStyle w:val="HSBody"/>
      </w:pPr>
      <w:r>
        <w:rPr>
          <w:b/>
        </w:rPr>
        <w:t>Sen. Ruben Gallego (D-AZ) sits on Senate Committee on Energy and Natural Resources -- direct influence on this program</w:t>
      </w:r>
    </w:p>
    <w:p>
      <w:pPr>
        <w:pStyle w:val="HSBody"/>
      </w:pPr>
      <w:r>
        <w:rPr>
          <w:b/>
        </w:rPr>
        <w:t>Sen. Ruben Gallego (D-AZ) sits on Energy -- direct influence on this program</w:t>
      </w:r>
    </w:p>
    <w:p>
      <w:pPr>
        <w:pStyle w:val="HSBody"/>
      </w:pPr>
      <w:r>
        <w:t>Rep. David Schweikert (R-AZ-01)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HMGP</w:t>
      </w:r>
    </w:p>
    <w:p>
      <w:pPr>
        <w:pStyle w:val="HSSubtitle"/>
      </w:pPr>
      <w:r>
        <w:t>FEMA | Competitive | Mandatory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HMGP remains authorized but severely constrained since February 2025. DHS Secretary requires personal sign-off on all grants over $100,000, creating de facto approval bottleneck. Not terminated but functionally impaired.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post-disaster hazard mitigation grant program under Stafford Act Section 404. Triggered by presidential disaster declarations.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Fort McDowell Yavapai Nation, Arizona has not yet received funding through FEMA HMGP.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93.0 -- (Very High)</w:t>
      </w:r>
    </w:p>
    <w:p>
      <w:pPr>
        <w:pStyle w:val="HSBody"/>
      </w:pPr>
      <w:r>
        <w:t>Inland Flooding -- Risk Score: 87.3 -- (Very High)</w:t>
      </w:r>
    </w:p>
    <w:p>
      <w:pPr>
        <w:pStyle w:val="HSBody"/>
      </w:pPr>
      <w:r>
        <w:t>Lightning -- Risk Score: 85.7 -- (Very High)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post-disaster hazard mitigation grant program under Stafford Act Section 404. Triggered by presidential disaster declarations.</w:t>
      </w:r>
    </w:p>
    <w:p>
      <w:pPr>
        <w:pStyle w:val="HSCalloutDetail"/>
        <w:shd w:fill="EEF2FF" w:val="clear"/>
      </w:pPr>
      <w:r>
        <w:t>WHY: Fort McDowell Yavapai Nation, Arizona's Wildfire, Inland Flooding and Lightning risk makes this program critical for community resilience</w:t>
      </w:r>
    </w:p>
    <w:p>
      <w:pPr>
        <w:pStyle w:val="HSCalloutDetail"/>
        <w:shd w:fill="EEF2FF" w:val="clear"/>
      </w:pPr>
      <w:r>
        <w:t>IMPACT: Federal investment in this program supports Tribal community resilience and regional economic development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Mark Kelly (D-AZ)</w:t>
      </w:r>
    </w:p>
    <w:p>
      <w:pPr>
        <w:pStyle w:val="HSBody"/>
      </w:pPr>
      <w:r>
        <w:t>Sen. Ruben Gallego (D-AZ)</w:t>
      </w:r>
    </w:p>
    <w:p>
      <w:pPr>
        <w:pStyle w:val="HSBody"/>
      </w:pPr>
      <w:r>
        <w:rPr>
          <w:b/>
        </w:rPr>
        <w:t>Sen. Ruben Gallego (D-AZ) sits on Senate Committee on Energy and Natural Resources -- direct influence on this program</w:t>
      </w:r>
    </w:p>
    <w:p>
      <w:pPr>
        <w:pStyle w:val="HSBody"/>
      </w:pPr>
      <w:r>
        <w:rPr>
          <w:b/>
        </w:rPr>
        <w:t>Sen. Ruben Gallego (D-AZ) sits on Energy -- direct influence on this program</w:t>
      </w:r>
    </w:p>
    <w:p>
      <w:pPr>
        <w:pStyle w:val="HSBody"/>
      </w:pPr>
      <w:r>
        <w:t>Rep. David Schweikert (R-AZ-01)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FMA</w:t>
      </w:r>
    </w:p>
    <w:p>
      <w:pPr>
        <w:pStyle w:val="HSSubtitle"/>
      </w:pPr>
      <w:r>
        <w:t>FEMA | Competitive | Discretionary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$600M FY2024 total with $50M Tribal set-aside. Requires NFIP participation. FY2024 NOFO disrupted by FEMA reorganization. Tribal access constrained by low NFIP participation rates.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Flood Mitigation Assistance program for NFIP-participating communities. $600M/year with $50M Tribal set-aside.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Fort McDowell Yavapai Nation, Arizona has not yet received funding through FEMA FMA.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93.0 -- (Very High)</w:t>
      </w:r>
    </w:p>
    <w:p>
      <w:pPr>
        <w:pStyle w:val="HSBody"/>
      </w:pPr>
      <w:r>
        <w:t>Inland Flooding -- Risk Score: 87.3 -- (Very High)</w:t>
      </w:r>
    </w:p>
    <w:p>
      <w:pPr>
        <w:pStyle w:val="HSBody"/>
      </w:pPr>
      <w:r>
        <w:t>Lightning -- Risk Score: 85.7 -- (Very High)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Flood Mitigation Assistance program for NFIP-participating communities. $600M/year with $50M Tribal set-aside.</w:t>
      </w:r>
    </w:p>
    <w:p>
      <w:pPr>
        <w:pStyle w:val="HSCalloutDetail"/>
        <w:shd w:fill="EEF2FF" w:val="clear"/>
      </w:pPr>
      <w:r>
        <w:t>WHY: Fort McDowell Yavapai Nation, Arizona's Wildfire, Inland Flooding and Lightning risk makes this program critical for community resilience</w:t>
      </w:r>
    </w:p>
    <w:p>
      <w:pPr>
        <w:pStyle w:val="HSCalloutDetail"/>
        <w:shd w:fill="EEF2FF" w:val="clear"/>
      </w:pPr>
      <w:r>
        <w:t>IMPACT: Federal investment in this program supports Tribal community resilience and regional economic development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Mark Kelly (D-AZ)</w:t>
      </w:r>
    </w:p>
    <w:p>
      <w:pPr>
        <w:pStyle w:val="HSBody"/>
      </w:pPr>
      <w:r>
        <w:t>Sen. Ruben Gallego (D-AZ)</w:t>
      </w:r>
    </w:p>
    <w:p>
      <w:pPr>
        <w:pStyle w:val="HSBody"/>
      </w:pPr>
      <w:r>
        <w:rPr>
          <w:b/>
        </w:rPr>
        <w:t>Sen. Ruben Gallego (D-AZ) sits on Senate Committee on Energy and Natural Resources -- direct influence on this program</w:t>
      </w:r>
    </w:p>
    <w:p>
      <w:pPr>
        <w:pStyle w:val="HSBody"/>
      </w:pPr>
      <w:r>
        <w:rPr>
          <w:b/>
        </w:rPr>
        <w:t>Sen. Ruben Gallego (D-AZ) sits on Energy -- direct influence on this program</w:t>
      </w:r>
    </w:p>
    <w:p>
      <w:pPr>
        <w:pStyle w:val="HSBody"/>
      </w:pPr>
      <w:r>
        <w:t>Rep. David Schweikert (R-AZ-01)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EPA STAG</w:t>
      </w:r>
    </w:p>
    <w:p>
      <w:pPr>
        <w:pStyle w:val="HSSubtitle"/>
      </w:pPr>
      <w:r>
        <w:t>EPA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IIJA-funded supplemental lines (Lead/PFAS) remain active through FY26.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EPA State and Tribal Assistance Grants for environmental infrastructure.</w:t>
      </w:r>
    </w:p>
    <w:p>
      <w:pPr>
        <w:pStyle w:val="HSBody"/>
      </w:pPr>
      <w:r>
        <w:t>Federal Home: Environmental Protection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Fort McDowell Yavapai Nation, Arizona has not yet received funding through EPA STAG.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93.0 -- (Very High)</w:t>
      </w:r>
    </w:p>
    <w:p>
      <w:pPr>
        <w:pStyle w:val="HSBody"/>
      </w:pPr>
      <w:r>
        <w:t>Inland Flooding -- Risk Score: 87.3 -- (Very High)</w:t>
      </w:r>
    </w:p>
    <w:p>
      <w:pPr>
        <w:pStyle w:val="HSBody"/>
      </w:pPr>
      <w:r>
        <w:t>Lightning -- Risk Score: 85.7 --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EPA STAG:</w:t>
      </w:r>
    </w:p>
    <w:p>
      <w:pPr>
        <w:pStyle w:val="HSBody"/>
      </w:pPr>
      <w:r>
        <w:t>Based on program averages, a successful EPA STAG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Fort McDowell Yavapai Nation, Arizona's wildfire risk profile reinforces the economic case for continued federal investment in EPA STAG.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EPA State and Tribal Assistance Grants for environmental infrastructure.</w:t>
      </w:r>
    </w:p>
    <w:p>
      <w:pPr>
        <w:pStyle w:val="HSCalloutDetail"/>
        <w:shd w:fill="EEF2FF" w:val="clear"/>
      </w:pPr>
      <w:r>
        <w:t>WHY: Fort McDowell Yavapai Nation, Arizona's Wildfire, Inland Flooding and Lightning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EPA STAG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Mark Kelly (D-AZ)</w:t>
      </w:r>
    </w:p>
    <w:p>
      <w:pPr>
        <w:pStyle w:val="HSBody"/>
      </w:pPr>
      <w:r>
        <w:t>Sen. Ruben Gallego (D-AZ)</w:t>
      </w:r>
    </w:p>
    <w:p>
      <w:pPr>
        <w:pStyle w:val="HSBody"/>
      </w:pPr>
      <w:r>
        <w:rPr>
          <w:b/>
        </w:rPr>
        <w:t>Sen. Ruben Gallego (D-AZ) sits on Senate Committee on Energy and Natural Resources -- direct influence on this program</w:t>
      </w:r>
    </w:p>
    <w:p>
      <w:pPr>
        <w:pStyle w:val="HSBody"/>
      </w:pPr>
      <w:r>
        <w:rPr>
          <w:b/>
        </w:rPr>
        <w:t>Sen. Ruben Gallego (D-AZ) sits on Energy -- direct influence on this program</w:t>
      </w:r>
    </w:p>
    <w:p>
      <w:pPr>
        <w:pStyle w:val="HSBody"/>
      </w:pPr>
      <w:r>
        <w:t>Rep. David Schweikert (R-AZ-01)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DOT PROTECT</w:t>
      </w:r>
    </w:p>
    <w:p>
      <w:pPr>
        <w:pStyle w:val="HSSubtitle"/>
      </w:pPr>
      <w:r>
        <w:t>DOT | Tribal Set Aside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Secure</w:t>
      </w:r>
    </w:p>
    <w:p>
      <w:pPr>
        <w:pStyle w:val="HSBody"/>
      </w:pPr>
      <w:r>
        <w:t>Tribal set-aside (2%) is statutorily protected under IIJA §11405. Not subject to annual appropriations volatility.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DOT program for resilience improvements to surface transportation. Statutory Tribal set-aside provides durable protection.</w:t>
      </w:r>
    </w:p>
    <w:p>
      <w:pPr>
        <w:pStyle w:val="HSBody"/>
      </w:pPr>
      <w:r>
        <w:t>Federal Home: Department of Transportation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Fort McDowell Yavapai Nation, Arizona has not yet received funding through DOT PROTECT.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93.0 -- (Very High)</w:t>
      </w:r>
    </w:p>
    <w:p>
      <w:pPr>
        <w:pStyle w:val="HSBody"/>
      </w:pPr>
      <w:r>
        <w:t>Inland Flooding -- Risk Score: 87.3 -- (Very High)</w:t>
      </w:r>
    </w:p>
    <w:p>
      <w:pPr>
        <w:pStyle w:val="HSBody"/>
      </w:pPr>
      <w:r>
        <w:t>Lightning -- Risk Score: 85.7 --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DOT PROTECT:</w:t>
      </w:r>
    </w:p>
    <w:p>
      <w:pPr>
        <w:pStyle w:val="HSBody"/>
      </w:pPr>
      <w:r>
        <w:t>Based on program averages, a successful DOT PROTECT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Fort McDowell Yavapai Nation, Arizona's wildfire risk profile reinforces the economic case for continued federal investment in DOT PROTECT.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DOT program for resilience improvements to surface transportation. Statutory Tribal set-aside provides durable protection.</w:t>
      </w:r>
    </w:p>
    <w:p>
      <w:pPr>
        <w:pStyle w:val="HSCalloutDetail"/>
        <w:shd w:fill="EEF2FF" w:val="clear"/>
      </w:pPr>
      <w:r>
        <w:t>WHY: Fort McDowell Yavapai Nation, Arizona's Wildfire, Inland Flooding and Lightning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DOT PROTECT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Mark Kelly (D-AZ)</w:t>
      </w:r>
    </w:p>
    <w:p>
      <w:pPr>
        <w:pStyle w:val="HSBody"/>
      </w:pPr>
      <w:r>
        <w:t>Sen. Ruben Gallego (D-AZ)</w:t>
      </w:r>
    </w:p>
    <w:p>
      <w:pPr>
        <w:pStyle w:val="HSBody"/>
      </w:pPr>
      <w:r>
        <w:rPr>
          <w:b/>
        </w:rPr>
        <w:t>Sen. Ruben Gallego (D-AZ) sits on Senate Committee on Energy and Natural Resources -- direct influence on this program</w:t>
      </w:r>
    </w:p>
    <w:p>
      <w:pPr>
        <w:pStyle w:val="HSBody"/>
      </w:pPr>
      <w:r>
        <w:rPr>
          <w:b/>
        </w:rPr>
        <w:t>Sen. Ruben Gallego (D-AZ) sits on Energy -- direct influence on this program</w:t>
      </w:r>
    </w:p>
    <w:p>
      <w:pPr>
        <w:pStyle w:val="HSBody"/>
      </w:pPr>
      <w:r>
        <w:t>Rep. David Schweikert (R-AZ-01)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eading2"/>
      </w:pPr>
      <w:r>
        <w:t>Climate Hazard Profile</w:t>
      </w:r>
    </w:p>
    <w:p>
      <w:pPr>
        <w:pStyle w:val="HSSmall"/>
      </w:pPr>
      <w:r>
        <w:t>Source: FEMA National Risk Index, county-level data aggregated to Tribal geographic boundaries.</w:t>
      </w:r>
    </w:p>
    <w:p>
      <w:pPr>
        <w:pStyle w:val="HSBody"/>
      </w:pPr>
      <w:r>
        <w:t>Overall Risk Rating: Very High (Score: 84.5)</w:t>
      </w:r>
    </w:p>
    <w:p>
      <w:pPr>
        <w:pStyle w:val="HSBody"/>
      </w:pPr>
      <w:r>
        <w:t>Social Vulnerability: Relatively High (Score: 71.1)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Hazard Type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Score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Rating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Expected Annual Loss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Wildfire</w:t>
            </w:r>
          </w:p>
        </w:tc>
        <w:tc>
          <w:tcPr>
            <w:tcW w:type="dxa" w:w="2340"/>
            <w:shd w:fill="F2F2F2" w:val="clear"/>
          </w:tcPr>
          <w:p>
            <w:r>
              <w:t>93.0</w:t>
            </w:r>
          </w:p>
        </w:tc>
        <w:tc>
          <w:tcPr>
            <w:tcW w:type="dxa" w:w="2340"/>
            <w:shd w:fill="F2F2F2" w:val="clear"/>
          </w:tcPr>
          <w:p>
            <w:r>
              <w:t>Very High</w:t>
            </w:r>
          </w:p>
        </w:tc>
        <w:tc>
          <w:tcPr>
            <w:tcW w:type="dxa" w:w="2340"/>
            <w:shd w:fill="F2F2F2" w:val="clear"/>
          </w:tcPr>
          <w:p>
            <w:r>
              <w:t>$15,223,276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Inland Flooding</w:t>
            </w:r>
          </w:p>
        </w:tc>
        <w:tc>
          <w:tcPr>
            <w:tcW w:type="dxa" w:w="2340"/>
            <w:shd w:fill="FFFFFF" w:val="clear"/>
          </w:tcPr>
          <w:p>
            <w:r>
              <w:t>87.3</w:t>
            </w:r>
          </w:p>
        </w:tc>
        <w:tc>
          <w:tcPr>
            <w:tcW w:type="dxa" w:w="2340"/>
            <w:shd w:fill="FFFFFF" w:val="clear"/>
          </w:tcPr>
          <w:p>
            <w:r>
              <w:t>Very High</w:t>
            </w:r>
          </w:p>
        </w:tc>
        <w:tc>
          <w:tcPr>
            <w:tcW w:type="dxa" w:w="2340"/>
            <w:shd w:fill="FFFFFF" w:val="clear"/>
          </w:tcPr>
          <w:p>
            <w:r>
              <w:t>$132,332,084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Lightning</w:t>
            </w:r>
          </w:p>
        </w:tc>
        <w:tc>
          <w:tcPr>
            <w:tcW w:type="dxa" w:w="2340"/>
            <w:shd w:fill="F2F2F2" w:val="clear"/>
          </w:tcPr>
          <w:p>
            <w:r>
              <w:t>85.7</w:t>
            </w:r>
          </w:p>
        </w:tc>
        <w:tc>
          <w:tcPr>
            <w:tcW w:type="dxa" w:w="2340"/>
            <w:shd w:fill="F2F2F2" w:val="clear"/>
          </w:tcPr>
          <w:p>
            <w:r>
              <w:t>Very High</w:t>
            </w:r>
          </w:p>
        </w:tc>
        <w:tc>
          <w:tcPr>
            <w:tcW w:type="dxa" w:w="2340"/>
            <w:shd w:fill="F2F2F2" w:val="clear"/>
          </w:tcPr>
          <w:p>
            <w:r>
              <w:t>$1,913,849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Heat Wave</w:t>
            </w:r>
          </w:p>
        </w:tc>
        <w:tc>
          <w:tcPr>
            <w:tcW w:type="dxa" w:w="2340"/>
            <w:shd w:fill="FFFFFF" w:val="clear"/>
          </w:tcPr>
          <w:p>
            <w:r>
              <w:t>85.1</w:t>
            </w:r>
          </w:p>
        </w:tc>
        <w:tc>
          <w:tcPr>
            <w:tcW w:type="dxa" w:w="2340"/>
            <w:shd w:fill="FFFFFF" w:val="clear"/>
          </w:tcPr>
          <w:p>
            <w:r>
              <w:t>Very High</w:t>
            </w:r>
          </w:p>
        </w:tc>
        <w:tc>
          <w:tcPr>
            <w:tcW w:type="dxa" w:w="2340"/>
            <w:shd w:fill="FFFFFF" w:val="clear"/>
          </w:tcPr>
          <w:p>
            <w:r>
              <w:t>$78,814,550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Earthquake</w:t>
            </w:r>
          </w:p>
        </w:tc>
        <w:tc>
          <w:tcPr>
            <w:tcW w:type="dxa" w:w="2340"/>
            <w:shd w:fill="F2F2F2" w:val="clear"/>
          </w:tcPr>
          <w:p>
            <w:r>
              <w:t>73.9</w:t>
            </w:r>
          </w:p>
        </w:tc>
        <w:tc>
          <w:tcPr>
            <w:tcW w:type="dxa" w:w="2340"/>
            <w:shd w:fill="F2F2F2" w:val="clear"/>
          </w:tcPr>
          <w:p>
            <w:r>
              <w:t>Relatively High</w:t>
            </w:r>
          </w:p>
        </w:tc>
        <w:tc>
          <w:tcPr>
            <w:tcW w:type="dxa" w:w="2340"/>
            <w:shd w:fill="F2F2F2" w:val="clear"/>
          </w:tcPr>
          <w:p>
            <w:r>
              <w:t>$6,895,901</w:t>
            </w:r>
          </w:p>
        </w:tc>
      </w:tr>
    </w:tbl>
    <w:p>
      <w:r>
        <w:br w:type="page"/>
      </w:r>
    </w:p>
    <w:p>
      <w:pPr>
        <w:pStyle w:val="Heading2"/>
      </w:pPr>
      <w:r>
        <w:t>Structural Policy Asks</w:t>
      </w:r>
    </w:p>
    <w:p>
      <w:pPr>
        <w:pStyle w:val="HSBody"/>
      </w:pPr>
      <w:r>
        <w:t>The following structural policy changes would advance climate resilience funding for Fort McDowell Yavapai Nation, Arizona and similarly situated Tribes.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doe_indian_energy, noaa_tribal, epa_stag, dot_protect, usbr_watersmart, usda_wildfire, hud_ihbg</w:t>
      </w:r>
    </w:p>
    <w:p>
      <w:pPr>
        <w:pStyle w:val="HSSmall"/>
      </w:pPr>
      <w:r>
        <w:t>Evidence: Active awards in affected programs; Wildfire risk profile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usda_wildfire, usbr_watersmart, fema_tribal_mitigation, fema_bric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bia_tcr, dot_protect, usbr_watersmart, epa_stag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fema_tribal_mitigation, bia_tcr, epa_gap, epa_tribal_air</w:t>
      </w:r>
    </w:p>
    <w:p>
      <w:pPr>
        <w:pStyle w:val="HSSmall"/>
      </w:pPr>
      <w:r>
        <w:t>Evidence: Active awards in affected programs; Wildfire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epa_stag, noaa_tribal, epa_tribal_air</w:t>
      </w:r>
    </w:p>
    <w:p>
      <w:pPr>
        <w:pStyle w:val="HSSmall"/>
      </w:pPr>
      <w:r>
        <w:t>Evidence: Active awards in affected programs; Wildfire risk profile</w:t>
      </w:r>
    </w:p>
    <w:p>
      <w:r>
        <w:br w:type="page"/>
      </w:r>
    </w:p>
    <w:p>
      <w:pPr>
        <w:pStyle w:val="Heading2"/>
      </w:pPr>
      <w:r>
        <w:t>Appendix: Additional Programs</w:t>
      </w:r>
    </w:p>
    <w:p>
      <w:pPr>
        <w:pStyle w:val="HSBody"/>
      </w:pPr>
      <w:r>
        <w:t>The following programs were assessed as lower priority for Fort McDowell Yavapai Nation, Arizona based on hazard profile and geographic relevance. They may still be relevant for specific project needs.</w:t>
      </w:r>
    </w:p>
    <w:p>
      <w:pPr>
        <w:pStyle w:val="HSBody"/>
      </w:pPr>
      <w:r>
        <w:rPr>
          <w:b/>
        </w:rPr>
        <w:t>NOAA Tribal Grants</w:t>
      </w:r>
      <w:r>
        <w:t xml:space="preserve">  [Uncertain]</w:t>
      </w:r>
    </w:p>
    <w:p>
      <w:pPr>
        <w:pStyle w:val="HSBody"/>
      </w:pPr>
      <w:r>
        <w:t>NOAA programs supporting Tribal climate and coastal resilience.</w:t>
      </w:r>
    </w:p>
    <w:p>
      <w:pPr>
        <w:pStyle w:val="HSSmall"/>
      </w:pPr>
      <w:r>
        <w:t>Access: Competitive | Funding: Discretionary</w:t>
      </w:r>
    </w:p>
    <w:p>
      <w:pPr>
        <w:pStyle w:val="HSSmall"/>
      </w:pPr>
      <w:r>
        <w:t>Learn more: Contact your program specialist or visit NOAA for current application information.</w:t>
      </w:r>
    </w:p>
    <w:p>
      <w:pPr>
        <w:pStyle w:val="HSBody"/>
      </w:pPr>
      <w:r>
        <w:rPr>
          <w:b/>
        </w:rPr>
        <w:t>Tribal Community Resilience Annual Awards</w:t>
      </w:r>
      <w:r>
        <w:t xml:space="preserve">  [Stable]</w:t>
      </w:r>
    </w:p>
    <w:p>
      <w:pPr>
        <w:pStyle w:val="HSBody"/>
      </w:pPr>
      <w:r>
        <w:t>BIA annual awards program for Tribal community resilience projects. Complements the core TCR program with implementation funding.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BIA for current application information.</w:t>
      </w:r>
    </w:p>
    <w:p>
      <w:pPr>
        <w:pStyle w:val="HSBody"/>
      </w:pPr>
      <w:r>
        <w:rPr>
          <w:b/>
        </w:rPr>
        <w:t>Tribal Air Quality Management</w:t>
      </w:r>
      <w:r>
        <w:t xml:space="preserve">  [Stable]</w:t>
      </w:r>
    </w:p>
    <w:p>
      <w:pPr>
        <w:pStyle w:val="HSBody"/>
      </w:pPr>
      <w:r>
        <w:t>EPA program supporting Tribal air quality monitoring and management under Clean Air Act §105.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EPA for current application information.</w:t>
      </w:r>
    </w:p>
    <w:p>
      <w:pPr>
        <w:pStyle w:val="HSBody"/>
      </w:pPr>
      <w:r>
        <w:rPr>
          <w:b/>
        </w:rPr>
        <w:t>FHWA TTP Safety</w:t>
      </w:r>
      <w:r>
        <w:t xml:space="preserve">  [Stable]</w:t>
      </w:r>
    </w:p>
    <w:p>
      <w:pPr>
        <w:pStyle w:val="HSBody"/>
      </w:pPr>
      <w:r>
        <w:t>FHWA Tribal Transportation Program safety funding.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FHWA for current application information.</w:t>
      </w:r>
    </w:p>
    <w:p>
      <w:pPr>
        <w:pStyle w:val="HSBody"/>
      </w:pPr>
      <w:r>
        <w:rPr>
          <w:b/>
        </w:rPr>
        <w:t>USBR WaterSMART</w:t>
      </w:r>
      <w:r>
        <w:t xml:space="preserve">  [Uncertain]</w:t>
      </w:r>
    </w:p>
    <w:p>
      <w:pPr>
        <w:pStyle w:val="HSBody"/>
      </w:pPr>
      <w:r>
        <w:t>Bureau of Reclamation WaterSMART grants for water conservation and drought resilience.</w:t>
      </w:r>
    </w:p>
    <w:p>
      <w:pPr>
        <w:pStyle w:val="HSSmall"/>
      </w:pPr>
      <w:r>
        <w:t>Access: Competitive | Funding: Discretionary</w:t>
      </w:r>
    </w:p>
    <w:p>
      <w:pPr>
        <w:pStyle w:val="HSSmall"/>
      </w:pPr>
      <w:r>
        <w:t>Learn more: Contact your program specialist or visit Reclamation for current application information.</w:t>
      </w:r>
    </w:p>
    <w:p>
      <w:pPr>
        <w:pStyle w:val="HSBody"/>
      </w:pPr>
      <w:r>
        <w:rPr>
          <w:b/>
        </w:rPr>
        <w:t>USBR TAP</w:t>
      </w:r>
      <w:r>
        <w:t xml:space="preserve">  [Stable]</w:t>
      </w:r>
    </w:p>
    <w:p>
      <w:pPr>
        <w:pStyle w:val="HSBody"/>
      </w:pPr>
      <w:r>
        <w:t>Bureau of Reclamation Technical Assistance Program.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Reclamation for current application information.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/>
        <w:color w:val="4B5563"/>
        <w:sz w:val="14"/>
      </w:rPr>
      <w:t>For Congressional Office Use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rFonts w:ascii="Arial" w:hAnsi="Arial"/>
        <w:color w:val="4B5563"/>
        <w:sz w:val="16"/>
      </w:rPr>
      <w:t>Fort McDowell Yavapai Nation, Arizona | FY26 Climate Resilience Program Priorities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line="276" w:lineRule="auto" w:after="80"/>
      <w:jc w:val="left"/>
    </w:pPr>
    <w:rPr>
      <w:rFonts w:ascii="Arial" w:hAnsi="Arial"/>
      <w:color w:val="1F2937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1A237E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374151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374151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HSTitle">
    <w:name w:val="HS Title"/>
    <w:pPr>
      <w:spacing w:after="120"/>
    </w:pPr>
    <w:rPr>
      <w:rFonts w:ascii="Arial" w:hAnsi="Arial"/>
      <w:b/>
      <w:color w:val="1A237E"/>
      <w:sz w:val="36"/>
    </w:rPr>
  </w:style>
  <w:style w:type="paragraph" w:customStyle="1" w:styleId="HSSubtitle">
    <w:name w:val="HS Subtitle"/>
    <w:pPr>
      <w:spacing w:after="80"/>
    </w:pPr>
    <w:rPr>
      <w:rFonts w:ascii="Arial" w:hAnsi="Arial"/>
      <w:b w:val="0"/>
      <w:color w:val="374151"/>
      <w:sz w:val="24"/>
    </w:rPr>
  </w:style>
  <w:style w:type="paragraph" w:customStyle="1" w:styleId="HSSection">
    <w:name w:val="HS Section"/>
    <w:pPr>
      <w:spacing w:after="80" w:before="240"/>
    </w:pPr>
    <w:rPr>
      <w:rFonts w:ascii="Arial" w:hAnsi="Arial"/>
      <w:b/>
      <w:color w:val="374151"/>
      <w:sz w:val="24"/>
    </w:rPr>
  </w:style>
  <w:style w:type="paragraph" w:customStyle="1" w:styleId="HSBody">
    <w:name w:val="HS Body"/>
    <w:pPr>
      <w:spacing w:after="80"/>
    </w:pPr>
    <w:rPr>
      <w:rFonts w:ascii="Arial" w:hAnsi="Arial"/>
      <w:b w:val="0"/>
      <w:color w:val="1F2937"/>
      <w:sz w:val="20"/>
    </w:rPr>
  </w:style>
  <w:style w:type="paragraph" w:customStyle="1" w:styleId="HSSmall">
    <w:name w:val="HS Small"/>
    <w:pPr>
      <w:spacing w:after="40"/>
    </w:pPr>
    <w:rPr>
      <w:rFonts w:ascii="Arial" w:hAnsi="Arial"/>
      <w:b w:val="0"/>
      <w:color w:val="6B7280"/>
      <w:sz w:val="16"/>
    </w:rPr>
  </w:style>
  <w:style w:type="paragraph" w:customStyle="1" w:styleId="HSCallout">
    <w:name w:val="HS Callout"/>
    <w:pPr>
      <w:spacing w:before="160"/>
      <w:ind w:left="432"/>
    </w:pPr>
    <w:rPr>
      <w:rFonts w:ascii="Arial" w:hAnsi="Arial"/>
      <w:b/>
      <w:color w:val="1F2937"/>
      <w:sz w:val="20"/>
    </w:rPr>
  </w:style>
  <w:style w:type="paragraph" w:customStyle="1" w:styleId="HSCalloutDetail">
    <w:name w:val="HS Callout Detail"/>
    <w:pPr>
      <w:spacing w:after="40"/>
      <w:ind w:left="432"/>
    </w:pPr>
    <w:rPr>
      <w:rFonts w:ascii="Arial" w:hAnsi="Arial"/>
      <w:b w:val="0"/>
      <w:color w:val="1F2937"/>
      <w:sz w:val="20"/>
    </w:rPr>
  </w:style>
  <w:style w:type="paragraph" w:customStyle="1" w:styleId="HSColumnPrimary">
    <w:name w:val="HS Column Primary"/>
    <w:pPr>
      <w:widowControl/>
      <w:spacing w:after="80" w:line="276" w:lineRule="auto"/>
      <w:jc w:val="left"/>
    </w:pPr>
    <w:rPr>
      <w:rFonts w:ascii="Arial" w:hAnsi="Arial"/>
      <w:b w:val="0"/>
      <w:color w:val="1F2937"/>
      <w:sz w:val="20"/>
    </w:rPr>
  </w:style>
  <w:style w:type="paragraph" w:customStyle="1" w:styleId="HSColumnSecondary">
    <w:name w:val="HS Column Secondary"/>
    <w:pPr>
      <w:widowControl/>
      <w:spacing w:after="6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BoxTitle">
    <w:name w:val="HS Box Title"/>
    <w:pPr>
      <w:widowControl/>
      <w:spacing w:after="40" w:line="276" w:lineRule="auto"/>
      <w:jc w:val="left"/>
    </w:pPr>
    <w:rPr>
      <w:rFonts w:ascii="Arial" w:hAnsi="Arial"/>
      <w:b/>
      <w:color w:val="374151"/>
      <w:sz w:val="20"/>
    </w:rPr>
  </w:style>
  <w:style w:type="paragraph" w:customStyle="1" w:styleId="HSBoxBody">
    <w:name w:val="HS Box Body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AskLabel">
    <w:name w:val="HS Ask Label"/>
    <w:pPr>
      <w:widowControl/>
      <w:spacing w:after="20" w:line="276" w:lineRule="auto"/>
      <w:jc w:val="left"/>
    </w:pPr>
    <w:rPr>
      <w:rFonts w:ascii="Arial" w:hAnsi="Arial"/>
      <w:b/>
      <w:color w:val="1A237E"/>
      <w:sz w:val="20"/>
    </w:rPr>
  </w:style>
  <w:style w:type="paragraph" w:customStyle="1" w:styleId="HSAskDetail">
    <w:name w:val="HS Ask Detail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Footer">
    <w:name w:val="HS Footer"/>
    <w:pPr>
      <w:widowControl/>
      <w:spacing w:after="0" w:line="276" w:lineRule="auto"/>
      <w:jc w:val="left"/>
    </w:pPr>
    <w:rPr>
      <w:rFonts w:ascii="Arial" w:hAnsi="Arial"/>
      <w:b w:val="0"/>
      <w:color w:val="6B7280"/>
      <w:sz w:val="14"/>
    </w:rPr>
  </w:style>
  <w:style w:type="paragraph" w:customStyle="1" w:styleId="HSCaption">
    <w:name w:val="HS Caption"/>
    <w:pPr>
      <w:widowControl/>
      <w:spacing w:after="40"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PageNumber">
    <w:name w:val="HS Page Number"/>
    <w:pPr>
      <w:widowControl/>
      <w:spacing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TableHeader">
    <w:name w:val="HS Table Header"/>
    <w:pPr>
      <w:spacing w:after="0"/>
    </w:pPr>
    <w:rPr>
      <w:rFonts w:ascii="Arial" w:hAnsi="Arial"/>
      <w:b/>
      <w:color w:val="FFFFFF"/>
      <w:sz w:val="18"/>
    </w:rPr>
  </w:style>
  <w:style w:type="paragraph" w:customStyle="1" w:styleId="HSTableBody">
    <w:name w:val="HS Table Body"/>
    <w:pPr>
      <w:spacing w:after="0"/>
    </w:pPr>
    <w:rPr>
      <w:rFonts w:ascii="Arial" w:hAnsi="Arial"/>
      <w:b w:val="0"/>
      <w:color w:val="1F2937"/>
      <w:sz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