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Nisqually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Nisqually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Nisqually Indian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$13,765,448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Marilyn Strickland (D-WA-10)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10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$491,545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$518,000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$1,009,545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Nisqually Indian Tribe generated an estimated $1,817,181-$2,422,908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Nisqually Indian Tribe generated an estimated $1,817,181-$2,422,908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$11,353,360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$370,551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$11,723,911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Nisqually Indian Tribe generated an estimated $21,103,040-$28,137,386 in regional economic activity (BEA RIMS II methodology, output multiplier range 1.8-2.4x), supporting approximately 94-176 jobs (BLS employment requirements methodology).</w:t>
      </w:r>
    </w:p>
    <w:p>
      <w:pPr>
        <w:pStyle w:val="HSBody"/>
      </w:pPr>
      <w:r>
        <w:t>Hazard Alignment: Nisqually Indian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Nisqually Indian Tribe generated an estimated $21,103,040-$28,137,386 in regional economic activity (BEA RIMS II methodology, output multiplier range 1.8-2.4x), supporting approximately 94-176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Nisqually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Nisqually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Marilyn Strickland (D-WA-10)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Nisqually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Nisqually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Nisqually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