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Osage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The Osage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Osage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$59,032,722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$25,875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$25,875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Osage Nation generated an estimated $46,575-$62,100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Osage Nation generated an estimated $46,575-$62,100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$25,875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$25,875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$34,381,032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$34,381,032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Osage Nation generated an estimated $61,885,858-$82,514,477 in regional economic activity (BEA RIMS II methodology, output multiplier range 1.8-2.4x), supporting approximately 275-516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Osage Nation generated an estimated $61,885,858-$82,514,477 in regional economic activity (BEA RIMS II methodology, output multiplier range 1.8-2.4x), supporting approximately 275-516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$540,000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The Osage Nation generated an estimated $972,000-$1,296,000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The Osage Nation generated an estimated $972,000-$1,296,000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Osage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Osage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Osage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