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Shingle Springs Band of Miwok Indians, Shingle Springs Rancheria (Verona Tract),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Shingle Springs Band of Miwok Indians, Shingle Springs Rancheria (Verona Tract), California's climate risk profile and geographic context.</w:t>
      </w:r>
    </w:p>
    <w:p>
      <w:r>
        <w:br w:type="page"/>
      </w:r>
    </w:p>
    <w:p>
      <w:pPr>
        <w:pStyle w:val="Heading2"/>
      </w:pPr>
      <w:r>
        <w:t>Executive Summary</w:t>
      </w:r>
    </w:p>
    <w:p>
      <w:pPr>
        <w:pStyle w:val="HSTitle"/>
      </w:pPr>
      <w:r>
        <w:t>Shingle Springs Band of Miwok Indians, Shingle Springs Rancheria (Verona Tract),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Shingle Springs Band of Miwok Indians, Shingle Springs Rancheria (Verona Tract),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Shingle Springs Band of Miwok Indians, Shingle Springs Rancheria (Verona Tract),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Shingle Springs Band of Miwok Indians, Shingle Springs Rancheria (Verona Tract),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Shingle Springs Band of Miwok Indians, Shingle Springs Rancheria (Verona Tract),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Shingle Springs Band of Miwok Indians, Shingle Springs Rancheria (Verona Tract),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Shingle Springs Band of Miwok Indians, Shingle Springs Rancheria (Verona Tract),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