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Skull Valley Band of Goshute Indians of Utah</w:t>
      </w:r>
    </w:p>
    <w:p>
      <w:pPr>
        <w:pStyle w:val="HSBody"/>
      </w:pPr>
      <w:r>
        <w:t>Prepared for the offices of: 2 Senators, 1 Representative</w:t>
      </w:r>
    </w:p>
    <w:p>
      <w:pPr>
        <w:pStyle w:val="HSBody"/>
      </w:pPr>
      <w:r>
        <w:t>State(s): UT</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Skull Valley Band of Goshute Indians of Utah's climate risk profile and geographic context.</w:t>
      </w:r>
    </w:p>
    <w:p>
      <w:r>
        <w:br w:type="page"/>
      </w:r>
    </w:p>
    <w:p>
      <w:pPr>
        <w:pStyle w:val="Heading2"/>
      </w:pPr>
      <w:r>
        <w:t>Executive Summary</w:t>
      </w:r>
    </w:p>
    <w:p>
      <w:pPr>
        <w:pStyle w:val="HSTitle"/>
      </w:pPr>
      <w:r>
        <w:t>Skull Valley Band of Goshute Indians of Utah -- UT</w:t>
      </w:r>
    </w:p>
    <w:p>
      <w:pPr>
        <w:pStyle w:val="HSBody"/>
      </w:pPr>
      <w:r>
        <w:t>Top Climate Hazards: Wildfire, Landslide, Avalanche</w:t>
      </w:r>
    </w:p>
    <w:p>
      <w:pPr>
        <w:pStyle w:val="HSBody"/>
      </w:pPr>
      <w:r>
        <w:t>Total Federal Climate Resilience Funding: $1,569,045</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Celeste Maloy (R-UT-02)</w:t>
            </w:r>
          </w:p>
        </w:tc>
        <w:tc>
          <w:tcPr>
            <w:tcW w:type="dxa" w:w="1872"/>
            <w:shd w:fill="F2F2F2" w:val="clear"/>
          </w:tcPr>
          <w:p>
            <w:r>
              <w:t>Representative</w:t>
            </w:r>
          </w:p>
        </w:tc>
        <w:tc>
          <w:tcPr>
            <w:tcW w:type="dxa" w:w="1872"/>
            <w:shd w:fill="F2F2F2" w:val="clear"/>
          </w:tcPr>
          <w:p>
            <w:r>
              <w:t>UT</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 Energy and Water Development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Skull Valley Band of Goshute Indians of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Skull Valley Band of Goshute Indians of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$1,140,612</w:t>
            </w:r>
          </w:p>
        </w:tc>
        <w:tc>
          <w:tcPr>
            <w:tcW w:type="dxa" w:w="2340"/>
            <w:shd w:fill="F2F2F2" w:val="clear"/>
          </w:tcPr>
          <w:p>
            <w:r>
              <w:t>2012-07-17 - 2034-09-30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2022-07-26 - 2026-09-30</w:t>
            </w:r>
          </w:p>
        </w:tc>
      </w:tr>
    </w:tbl>
    <w:p>
      <w:pPr>
        <w:pStyle w:val="HSBody"/>
      </w:pPr>
      <w:r>
        <w:rPr>
          <w:b/>
        </w:rPr>
        <w:t>Total: $1,175,619</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Skull Valley Band of Goshute Indians of Utah generated an estimated $2,116,114-$2,821,486 in regional economic activity (BEA RIMS II methodology, output multiplier range 1.8-2.4x), supporting approximately 9-18 jobs (BLS employment requirements methodology).</w:t>
      </w:r>
    </w:p>
    <w:p>
      <w:pPr>
        <w:pStyle w:val="HSBody"/>
      </w:pPr>
      <w:r>
        <w:t>Hazard Alignment: Skull Valley Band of Goshute Indians of Utah's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HUD IHBG funding to Skull Valley Band of Goshute Indians of Utah generated an estimated $2,116,114-$2,821,486 in regional economic activity (BEA RIMS II methodology, output multiplier range 1.8-2.4x), supporting approximately 9-18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Skull Valley Band of Goshute Indians of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r>
        <w:br w:type="page"/>
      </w:r>
    </w:p>
    <w:p>
      <w:pPr>
        <w:pStyle w:val="Heading2"/>
      </w:pPr>
      <w:r>
        <w:t>Structural Policy Asks</w:t>
      </w:r>
    </w:p>
    <w:p>
      <w:pPr>
        <w:pStyle w:val="HSBody"/>
      </w:pPr>
      <w:r>
        <w:t>The following structural policy changes would advance climate resilience funding for Skull Valley Band of Goshute Indians of Utah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Skull Valley Band of Goshute Indians of Utah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Skull Valley Band of Goshute Indians of Utah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