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Sycuan Band of the Kumeyaay Nation</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Sycuan Band of the Kumeyaay Nation's climate risk profile and geographic context.</w:t>
      </w:r>
    </w:p>
    <w:p>
      <w:r>
        <w:br w:type="page"/>
      </w:r>
    </w:p>
    <w:p>
      <w:pPr>
        <w:pStyle w:val="Heading2"/>
      </w:pPr>
      <w:r>
        <w:t>Executive Summary</w:t>
      </w:r>
    </w:p>
    <w:p>
      <w:pPr>
        <w:pStyle w:val="HSTitle"/>
      </w:pPr>
      <w:r>
        <w:t>Sycuan Band of the Kumeyaay Nation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Sycuan Band of the Kumeyaay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Sycuan Band of the Kumeyaay Nation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Sycuan Band of the Kumeyaay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Sycuan Band of the Kumeyaay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Sycuan Band of the Kumeyaay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Sycuan Band of the Kumeyaay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Sycuan Band of the Kumeyaay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Sycuan Band of the Kumeyaay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Sycuan Band of the Kumeyaay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Sycuan Band of the Kumeyaay Nation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Sycuan Band of the Kumeyaay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Sycuan Band of the Kumeyaay Nation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Sycuan Band of the Kumeyaay Nation's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Sycuan Band of the Kumeyaay Nation's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Sycuan Band of the Kumeyaay Nation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Sycuan Band of the Kumeyaay Nation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Sycuan Band of the Kumeyaay Nation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