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>
      <w:pPr>
        <w:pStyle w:val="Heading1"/>
      </w:pPr>
      <w:r>
        <w:t>FY26 Climate Resilience Program Priorities</w:t>
      </w:r>
    </w:p>
    <w:p>
      <w:pPr>
        <w:pStyle w:val="HSTitle"/>
      </w:pPr>
      <w:r>
        <w:t>Wilton Rancheria, California</w:t>
      </w:r>
    </w:p>
    <w:p>
      <w:pPr>
        <w:pStyle w:val="HSBody"/>
      </w:pPr>
      <w:r>
        <w:t>Prepared for the offices of: No delegation data</w:t>
      </w:r>
    </w:p>
    <w:p>
      <w:pPr>
        <w:pStyle w:val="HSBody"/>
      </w:pPr>
      <w:r>
        <w:t>State(s): CA</w:t>
      </w:r>
    </w:p>
    <w:p>
      <w:pPr>
        <w:pStyle w:val="HSBody"/>
      </w:pPr>
      <w:r>
        <w:t>Ecoregion(s): southwest</w:t>
      </w:r>
    </w:p>
    <w:p>
      <w:pPr>
        <w:pStyle w:val="HSBody"/>
      </w:pPr>
      <w:r>
        <w:t>Congressional Session: 119</w:t>
      </w:r>
    </w:p>
    <w:p>
      <w:pPr>
        <w:pStyle w:val="HSBody"/>
      </w:pPr>
      <w:r>
        <w:t>Generated: 2026-02-22</w:t>
      </w:r>
    </w:p>
    <w:p>
      <w:pPr>
        <w:pStyle w:val="HSSmall"/>
        <w:jc w:val="center"/>
      </w:pPr>
      <w:r>
        <w:t>For Congressional Office Use</w:t>
      </w:r>
    </w:p>
    <w:p>
      <w:r>
        <w:br w:type="page"/>
      </w:r>
    </w:p>
    <w:p>
      <w:pPr>
        <w:pStyle w:val="Heading2"/>
      </w:pPr>
      <w:r>
        <w:t>Program Hot Sheets</w:t>
      </w:r>
    </w:p>
    <w:p>
      <w:pPr>
        <w:pStyle w:val="HSBody"/>
      </w:pPr>
      <w:r>
        <w:t>1.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>2.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3.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4. FEMA Tribal Mitigation Plans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5. USDA Wildfire Defense Grants</w:t>
      </w:r>
      <w:r>
        <w:t xml:space="preserve">  </w:t>
      </w:r>
      <w:r>
        <w:rPr>
          <w:color w:val="4B5563"/>
          <w:sz w:val="16"/>
        </w:rPr>
        <w:t>[Stable but Vulnerable]</w:t>
      </w:r>
    </w:p>
    <w:p>
      <w:pPr>
        <w:pStyle w:val="HSBody"/>
      </w:pPr>
      <w:r>
        <w:t>6. EPA GAP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7. DOT PROTECT</w:t>
      </w:r>
      <w:r>
        <w:t xml:space="preserve">  </w:t>
      </w:r>
      <w:r>
        <w:rPr>
          <w:color w:val="4B5563"/>
          <w:sz w:val="16"/>
        </w:rPr>
        <w:t>[Secure]</w:t>
      </w:r>
    </w:p>
    <w:p>
      <w:pPr>
        <w:pStyle w:val="HSBody"/>
      </w:pPr>
      <w:r>
        <w:t>8. FEMA HMGP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9. FEMA FMA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10. EPA STAG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11. DOE Indian Energy</w:t>
      </w:r>
      <w:r>
        <w:t xml:space="preserve">  </w:t>
      </w:r>
      <w:r>
        <w:rPr>
          <w:color w:val="4B5563"/>
          <w:sz w:val="16"/>
        </w:rPr>
        <w:t>[Uncertain]</w:t>
      </w:r>
    </w:p>
    <w:p>
      <w:pPr>
        <w:pStyle w:val="HSBody"/>
      </w:pPr>
      <w:r>
        <w:t>12. HUD IHBG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>This packet contains 12 program analyses tailored to Wilton Rancheria, California's climate risk profile and geographic context.</w:t>
      </w:r>
    </w:p>
    <w:p>
      <w:r>
        <w:br w:type="page"/>
      </w:r>
    </w:p>
    <w:p>
      <w:pPr>
        <w:pStyle w:val="Heading2"/>
      </w:pPr>
      <w:r>
        <w:t>Executive Summary</w:t>
      </w:r>
    </w:p>
    <w:p>
      <w:pPr>
        <w:pStyle w:val="HSTitle"/>
      </w:pPr>
      <w:r>
        <w:t>Wilton Rancheria, California -- CA</w:t>
      </w:r>
    </w:p>
    <w:p>
      <w:pPr>
        <w:pStyle w:val="HSBody"/>
      </w:pPr>
      <w:r>
        <w:t>Top Climate Hazards: Wildfire, Earthquake, Landslide</w:t>
      </w:r>
    </w:p>
    <w:p>
      <w:pPr>
        <w:pStyle w:val="HSBody"/>
      </w:pPr>
      <w:r>
        <w:t>Total Federal Climate Resilience Funding: $191,243</w:t>
      </w:r>
    </w:p>
    <w:p>
      <w:pPr>
        <w:pStyle w:val="HSBody"/>
      </w:pPr>
      <w:r>
        <w:t>1 federal climate resilience award(s) on record.</w:t>
      </w:r>
    </w:p>
    <w:p>
      <w:pPr>
        <w:pStyle w:val="HSBody"/>
      </w:pPr>
      <w:r>
        <w:t xml:space="preserve">  FEMA BRIC</w:t>
      </w:r>
      <w:r>
        <w:t xml:space="preserve">  </w:t>
      </w:r>
      <w:r>
        <w:rPr>
          <w:color w:val="4B5563"/>
          <w:sz w:val="16"/>
        </w:rPr>
        <w:t>[Flagged -- Requires Specialist Attention]</w:t>
      </w:r>
    </w:p>
    <w:p>
      <w:pPr>
        <w:pStyle w:val="HSBody"/>
      </w:pPr>
      <w:r>
        <w:t xml:space="preserve">  BIA Tribal Climate Resilience</w:t>
      </w:r>
      <w:r>
        <w:t xml:space="preserve">  </w:t>
      </w:r>
      <w:r>
        <w:rPr>
          <w:color w:val="4B5563"/>
          <w:sz w:val="16"/>
        </w:rPr>
        <w:t>[Stable]</w:t>
      </w:r>
    </w:p>
    <w:p>
      <w:pPr>
        <w:pStyle w:val="HSBody"/>
      </w:pPr>
      <w:r>
        <w:t xml:space="preserve">  IRS Elective Pay</w:t>
      </w:r>
      <w:r>
        <w:t xml:space="preserve">  </w:t>
      </w:r>
      <w:r>
        <w:rPr>
          <w:color w:val="4B5563"/>
          <w:sz w:val="16"/>
        </w:rPr>
        <w:t>[At Risk]</w:t>
      </w:r>
    </w:p>
    <w:p>
      <w:pPr>
        <w:pStyle w:val="HSBody"/>
      </w:pPr>
      <w:r>
        <w:t>0 Senator(s) and 0 Representative(s) across 0 district(s)</w:t>
      </w:r>
    </w:p>
    <w:p>
      <w:pPr>
        <w:pStyle w:val="HSBody"/>
      </w:pPr>
      <w:r>
        <w:t>5 structural policy asks identified</w:t>
      </w:r>
    </w:p>
    <w:p>
      <w:r>
        <w:br w:type="page"/>
      </w:r>
    </w:p>
    <w:p>
      <w:pPr>
        <w:pStyle w:val="Heading2"/>
      </w:pPr>
      <w:r>
        <w:t>Relevant Legislation</w:t>
      </w:r>
      <w:r>
        <w:rPr>
          <w:color w:val="4B5563"/>
          <w:sz w:val="16"/>
        </w:rPr>
        <w:t xml:space="preserve"> [LOW]</w:t>
      </w:r>
    </w:p>
    <w:p>
      <w:pPr>
        <w:pStyle w:val="HSBody"/>
      </w:pPr>
      <w:r>
        <w:t>No tracked legislation identified in the current session.</w:t>
      </w:r>
    </w:p>
    <w:p>
      <w:r>
        <w:br w:type="page"/>
      </w:r>
    </w:p>
    <w:p>
      <w:pPr>
        <w:pStyle w:val="Heading2"/>
      </w:pPr>
      <w:r>
        <w:t>Congressional Delegation</w:t>
      </w:r>
    </w:p>
    <w:p>
      <w:pPr>
        <w:pStyle w:val="HSBody"/>
      </w:pPr>
      <w:r>
        <w:t>Congressional delegation data not available.</w:t>
      </w:r>
    </w:p>
    <w:p>
      <w:r>
        <w:br w:type="page"/>
      </w:r>
    </w:p>
    <w:p>
      <w:pPr>
        <w:pStyle w:val="HSTitle"/>
      </w:pPr>
      <w:r>
        <w:t>FEMA BRIC</w:t>
      </w:r>
    </w:p>
    <w:p>
      <w:pPr>
        <w:pStyle w:val="HSSubtitle"/>
      </w:pPr>
      <w:r>
        <w:t>FEMA | Competitive | One-Time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Flagged -- Requires Specialist Attention</w:t>
      </w:r>
    </w:p>
    <w:p>
      <w:pPr>
        <w:pStyle w:val="HSBody"/>
      </w:pPr>
      <w:r>
        <w:t>FEMA announced termination of BRIC on April 4, 2025. FY24/25 cycles canceled. ~$882M unobligated IIJA funds being returned to Treasury. Requires immediate specialist engagement.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pre-disaster mitigation competitive grant program.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Wilton Rancheria, California has not yet received funding through FEMA BRIC.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BRIC:</w:t>
      </w:r>
    </w:p>
    <w:p>
      <w:pPr>
        <w:pStyle w:val="HSBody"/>
      </w:pPr>
      <w:r>
        <w:t>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Body"/>
      </w:pPr>
      <w:r>
        <w:t>Hazard Alignment: Wilton Rancheria, California's wildfire risk profile reinforces the economic case for continued federal investment in FEMA BRIC.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pre-disaster mitigation competitive grant program.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BRIC application could generate an estimated $900,000-$1,200,000 in regional economic impact, supporting approximately 4-8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BIA Tribal Climate Resilience</w:t>
      </w:r>
    </w:p>
    <w:p>
      <w:pPr>
        <w:pStyle w:val="HSSubtitle"/>
      </w:pPr>
      <w:r>
        <w:t>BIA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FY26 funded at $34.291M. Core vehicle; focus on permanent multi-year stability.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Core BIA program funding Tribal climate adaptation planning and implementation.</w:t>
      </w:r>
    </w:p>
    <w:p>
      <w:pPr>
        <w:pStyle w:val="HSBody"/>
      </w:pPr>
      <w:r>
        <w:t>Federal Home: Bureau of Indian Affairs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Wilton Rancheria, California has not yet received funding through BIA Tribal Climate Resilience.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BIA Tribal Climate Resilience:</w:t>
      </w:r>
    </w:p>
    <w:p>
      <w:pPr>
        <w:pStyle w:val="HSBody"/>
      </w:pPr>
      <w:r>
        <w:t>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Wilton Rancheria, California's wildfire risk profile reinforces the economic case for continued federal investment in BIA Tribal Climate Resilience.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Core BIA program funding Tribal climate adaptation planning and implementation.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BIA Tribal Climate Resilience application could generate an estimated $270,000-$360,000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IRS Elective Pay</w:t>
      </w:r>
    </w:p>
    <w:p>
      <w:pPr>
        <w:pStyle w:val="HSSubtitle"/>
      </w:pPr>
      <w:r>
        <w:t>Treasury/IRS | Direct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Final regulations (Jan 2026) confirm Tribal instrumentalities, but IRA §6417 faces active reconciliation repeal threat. Bipartisan defense coalition needed.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IRA provision allowing Tribes to receive clean energy tax credits as direct payments. Subject to reconciliation repeal threat.</w:t>
      </w:r>
    </w:p>
    <w:p>
      <w:pPr>
        <w:pStyle w:val="HSBody"/>
      </w:pPr>
      <w:r>
        <w:t>Federal Home: Department of the Treasury / IRS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Wilton Rancheria, California has not yet received funding through IRS Elective Pay.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IRS Elective Pay:</w:t>
      </w:r>
    </w:p>
    <w:p>
      <w:pPr>
        <w:pStyle w:val="HSBody"/>
      </w:pPr>
      <w:r>
        <w:t>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Wilton Rancheria, California's wildfire risk profile reinforces the economic case for continued federal investment in IRS Elective Pay.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IRA provision allowing Tribes to receive clean energy tax credits as direct payments. Subject to reconciliation repeal threat.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IRS Elective Pay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Tribal Mitigation Plans</w:t>
      </w:r>
    </w:p>
    <w:p>
      <w:pPr>
        <w:pStyle w:val="HSSubtitle"/>
      </w:pPr>
      <w:r>
        <w:t>FEMA | Direct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Loss of BRIC as primary funding incentive reduces plan ROI; statutory requirement remains but funding for planning is opaque.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support for Tribal hazard mitigation planning.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Wilton Rancheria, California has not yet received funding through FEMA Tribal Mitigation Plans.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FEMA Tribal Mitigation Plans:</w:t>
      </w:r>
    </w:p>
    <w:p>
      <w:pPr>
        <w:pStyle w:val="HSBody"/>
      </w:pPr>
      <w:r>
        <w:t>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Wilton Rancheria, California's wildfire risk profile reinforces the economic case for continued federal investment in FEMA Tribal Mitigation Plans.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support for Tribal hazard mitigation planning.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FEMA Tribal Mitigation Plans application could generate an estimated $540,000-$720,000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USDA Wildfire Defense Grants</w:t>
      </w:r>
    </w:p>
    <w:p>
      <w:pPr>
        <w:pStyle w:val="HSSubtitle"/>
      </w:pPr>
      <w:r>
        <w:t>USFS | Competitive | One-Time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Stable but Vulnerable</w:t>
      </w:r>
    </w:p>
    <w:p>
      <w:pPr>
        <w:pStyle w:val="HSBody"/>
      </w:pPr>
      <w:r>
        <w:t>High Tribal participation but subject to Forest Management reforms (EO 14225).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USDA grants for community wildfire defense and fuels management.</w:t>
      </w:r>
    </w:p>
    <w:p>
      <w:pPr>
        <w:pStyle w:val="HSBody"/>
      </w:pPr>
      <w:r>
        <w:t>Federal Home: US Forest Service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Wilton Rancheria, California has not yet received funding through USDA Wildfire Defense Grants.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USDA Wildfire Defense Grants:</w:t>
      </w:r>
    </w:p>
    <w:p>
      <w:pPr>
        <w:pStyle w:val="HSBody"/>
      </w:pPr>
      <w:r>
        <w:t>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Body"/>
      </w:pPr>
      <w:r>
        <w:t>Hazard Alignment: Wilton Rancheria, California's wildfire risk profile reinforces the economic case for continued federal investment in USDA Wildfire Defense Grants.</w:t>
      </w:r>
    </w:p>
    <w:p>
      <w:pPr>
        <w:pStyle w:val="HSBody"/>
      </w:pPr>
      <w:r>
        <w:t>Every federal dollar invested in hazard mitigation generates an estimated $4 in future avoided costs (FEMA/NIBS MitSaves, 2018).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USDA grants for community wildfire defense and fuels management.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USDA Wildfire Defense Grants application could generate an estimated $630,000-$840,000 in regional economic impact, supporting approximately 3-5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GAP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program under Indian Environmental GAP Act of 1992. Annual appropriations; stable baseline.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General Assistance Program providing base environmental capacity to Tribes.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Program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CFDA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Obligation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Period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epa_gap</w:t>
            </w:r>
          </w:p>
        </w:tc>
        <w:tc>
          <w:tcPr>
            <w:tcW w:type="dxa" w:w="2340"/>
            <w:shd w:fill="F2F2F2" w:val="clear"/>
          </w:tcPr>
          <w:p>
            <w:r>
              <w:t>66.926</w:t>
            </w:r>
          </w:p>
        </w:tc>
        <w:tc>
          <w:tcPr>
            <w:tcW w:type="dxa" w:w="2340"/>
            <w:shd w:fill="F2F2F2" w:val="clear"/>
          </w:tcPr>
          <w:p>
            <w:r>
              <w:t>$191,243</w:t>
            </w:r>
          </w:p>
        </w:tc>
        <w:tc>
          <w:tcPr>
            <w:tcW w:type="dxa" w:w="2340"/>
            <w:shd w:fill="F2F2F2" w:val="clear"/>
          </w:tcPr>
          <w:p>
            <w:r>
              <w:t>2021-10-01 - 2023-09-30</w:t>
            </w:r>
          </w:p>
        </w:tc>
      </w:tr>
    </w:tbl>
    <w:p>
      <w:pPr>
        <w:pStyle w:val="HSBody"/>
      </w:pPr>
      <w:r>
        <w:rPr>
          <w:b/>
        </w:rPr>
        <w:t>Total: $191,243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EPA GAP funding to Wilton Rancheria, California generated an estimated $344,237-$458,983 in regional economic activity (BEA RIMS II methodology, output multiplier range 1.8-2.4x), supporting approximately 2-3 jobs (BLS employment requirements methodology).</w:t>
      </w:r>
    </w:p>
    <w:p>
      <w:pPr>
        <w:pStyle w:val="HSBody"/>
      </w:pPr>
      <w:r>
        <w:t>Hazard Alignment: Wilton Rancheria, California's wildfire risk profile reinforces the economic case for continued federal investment in EPA GAP.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General Assistance Program providing base environmental capacity to Tribes.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EPA GAP funding to Wilton Rancheria, California generated an estimated $344,237-$458,983 in regional economic activity (BEA RIMS II methodology, output multiplier range 1.8-2.4x), supporting approximately 2-3 jobs (BLS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Active awards under EPA GAP;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Active awards under EPA GAP;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DOT PROTECT</w:t>
      </w:r>
    </w:p>
    <w:p>
      <w:pPr>
        <w:pStyle w:val="HSSubtitle"/>
      </w:pPr>
      <w:r>
        <w:t>DOT | Tribal Set Aside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Secure</w:t>
      </w:r>
    </w:p>
    <w:p>
      <w:pPr>
        <w:pStyle w:val="HSBody"/>
      </w:pPr>
      <w:r>
        <w:t>Tribal set-aside (2%) is statutorily protected under IIJA §11405. Not subject to annual appropriations volatility.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DOT program for resilience improvements to surface transportation. Statutory Tribal set-aside provides durable protection.</w:t>
      </w:r>
    </w:p>
    <w:p>
      <w:pPr>
        <w:pStyle w:val="HSBody"/>
      </w:pPr>
      <w:r>
        <w:t>Federal Home: Department of Transportation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Wilton Rancheria, California has not yet received funding through DOT PROTECT.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DOT PROTECT:</w:t>
      </w:r>
    </w:p>
    <w:p>
      <w:pPr>
        <w:pStyle w:val="HSBody"/>
      </w:pPr>
      <w:r>
        <w:t>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Body"/>
      </w:pPr>
      <w:r>
        <w:t>Hazard Alignment: Wilton Rancheria, California's wildfire risk profile reinforces the economic case for continued federal investment in DOT PROTECT.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DOT program for resilience improvements to surface transportation. Statutory Tribal set-aside provides durable protection.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DOT PROTECT application could generate an estimated $450,000-$600,000 in regional economic impact, supporting approximately 2-4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HMGP</w:t>
      </w:r>
    </w:p>
    <w:p>
      <w:pPr>
        <w:pStyle w:val="HSSubtitle"/>
      </w:pPr>
      <w:r>
        <w:t>FEMA | Competitive | Mandatory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HMGP remains authorized but severely constrained since February 2025. DHS Secretary requires personal sign-off on all grants over $100,000, creating de facto approval bottleneck. Not terminated but functionally impaired.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post-disaster hazard mitigation grant program under Stafford Act Section 404. Triggered by presidential disaster declarations.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Wilton Rancheria, California has not yet received funding through FEMA HMGP.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post-disaster hazard mitigation grant program under Stafford Act Section 404. Triggered by presidential disaster declarations.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FEMA FMA</w:t>
      </w:r>
    </w:p>
    <w:p>
      <w:pPr>
        <w:pStyle w:val="HSSubtitle"/>
      </w:pPr>
      <w:r>
        <w:t>FEMA | Competitive | Discretionary</w:t>
      </w:r>
    </w:p>
    <w:p>
      <w:pPr>
        <w:pStyle w:val="HSBody"/>
      </w:pPr>
      <w:r>
        <w:rPr>
          <w:rFonts w:ascii="Arial" w:hAnsi="Arial"/>
          <w:color w:val="DC2626"/>
          <w:sz w:val="28"/>
        </w:rPr>
        <w:t xml:space="preserve">● </w:t>
      </w:r>
      <w:r>
        <w:rPr>
          <w:rFonts w:ascii="Arial" w:hAnsi="Arial"/>
          <w:b/>
          <w:color w:val="DC2626"/>
          <w:sz w:val="22"/>
        </w:rPr>
        <w:t>At Risk</w:t>
      </w:r>
    </w:p>
    <w:p>
      <w:pPr>
        <w:pStyle w:val="HSBody"/>
      </w:pPr>
      <w:r>
        <w:t>$600M FY2024 total with $50M Tribal set-aside. Requires NFIP participation. FY2024 NOFO disrupted by FEMA reorganization. Tribal access constrained by low NFIP participation rates.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FEMA Flood Mitigation Assistance program for NFIP-participating communities. $600M/year with $50M Tribal set-aside.</w:t>
      </w:r>
    </w:p>
    <w:p>
      <w:pPr>
        <w:pStyle w:val="HSBody"/>
      </w:pPr>
      <w:r>
        <w:t>Federal Home: Federal Emergency Management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Wilton Rancheria, California has not yet received funding through FEMA FMA.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FEMA Flood Mitigation Assistance program for NFIP-participating communities. $600M/year with $50M Tribal set-aside.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Federal investment in this program supports Tribal community resilience and regional economic development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EPA STAG</w:t>
      </w:r>
    </w:p>
    <w:p>
      <w:pPr>
        <w:pStyle w:val="HSSubtitle"/>
      </w:pPr>
      <w:r>
        <w:t>EPA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IIJA-funded supplemental lines (Lead/PFAS) remain active through FY26.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EPA State and Tribal Assistance Grants for environmental infrastructure.</w:t>
      </w:r>
    </w:p>
    <w:p>
      <w:pPr>
        <w:pStyle w:val="HSBody"/>
      </w:pPr>
      <w:r>
        <w:t>Federal Home: Environmental Protection Agency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Wilton Rancheria, California has not yet received funding through EPA STAG.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EPA STAG:</w:t>
      </w:r>
    </w:p>
    <w:p>
      <w:pPr>
        <w:pStyle w:val="HSBody"/>
      </w:pPr>
      <w:r>
        <w:t>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Body"/>
      </w:pPr>
      <w:r>
        <w:t>Hazard Alignment: Wilton Rancheria, California's wildfire risk profile reinforces the economic case for continued federal investment in EPA STAG.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EPA State and Tribal Assistance Grants for environmental infrastructure.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EPA STAG application could generate an estimated $180,000-$240,000 in regional economic impact, supporting approximately 1-2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DOE Indian Energy</w:t>
      </w:r>
    </w:p>
    <w:p>
      <w:pPr>
        <w:pStyle w:val="HSSubtitle"/>
      </w:pPr>
      <w:r>
        <w:t>DOE | Direct | Discretionary</w:t>
      </w:r>
    </w:p>
    <w:p>
      <w:pPr>
        <w:pStyle w:val="HSBody"/>
      </w:pPr>
      <w:r>
        <w:rPr>
          <w:rFonts w:ascii="Arial" w:hAnsi="Arial"/>
          <w:color w:val="B45309"/>
          <w:sz w:val="28"/>
        </w:rPr>
        <w:t xml:space="preserve">● </w:t>
      </w:r>
      <w:r>
        <w:rPr>
          <w:rFonts w:ascii="Arial" w:hAnsi="Arial"/>
          <w:b/>
          <w:color w:val="B45309"/>
          <w:sz w:val="22"/>
        </w:rPr>
        <w:t>Uncertain</w:t>
      </w:r>
    </w:p>
    <w:p>
      <w:pPr>
        <w:pStyle w:val="HSBody"/>
      </w:pPr>
      <w:r>
        <w:t>Active program but DOE reorganization and IRA implementation uncertainty create structural ambiguity.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DOE Office of Indian Energy programs for Tribal energy development.</w:t>
      </w:r>
    </w:p>
    <w:p>
      <w:pPr>
        <w:pStyle w:val="HSBody"/>
      </w:pPr>
      <w:r>
        <w:t>Federal Home: Department of Energy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Wilton Rancheria, California has not yet received funding through DOE Indian Energy.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DOE Indian Energy:</w:t>
      </w:r>
    </w:p>
    <w:p>
      <w:pPr>
        <w:pStyle w:val="HSBody"/>
      </w:pPr>
      <w:r>
        <w:t>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Body"/>
      </w:pPr>
      <w:r>
        <w:t>Hazard Alignment: Wilton Rancheria, California's wildfire risk profile reinforces the economic case for continued federal investment in DOE Indian Energy.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DOE Office of Indian Energy programs for Tribal energy development.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DOE Indian Energy application could generate an estimated $360,000-$480,000 in regional economic impact, supporting approximately 2-3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STitle"/>
      </w:pPr>
      <w:r>
        <w:t>HUD IHBG</w:t>
      </w:r>
    </w:p>
    <w:p>
      <w:pPr>
        <w:pStyle w:val="HSSubtitle"/>
      </w:pPr>
      <w:r>
        <w:t>HUD | Direct | Discretionary</w:t>
      </w:r>
    </w:p>
    <w:p>
      <w:pPr>
        <w:pStyle w:val="HSBody"/>
      </w:pPr>
      <w:r>
        <w:rPr>
          <w:rFonts w:ascii="Arial" w:hAnsi="Arial"/>
          <w:color w:val="16A34A"/>
          <w:sz w:val="28"/>
        </w:rPr>
        <w:t xml:space="preserve">● </w:t>
      </w:r>
      <w:r>
        <w:rPr>
          <w:rFonts w:ascii="Arial" w:hAnsi="Arial"/>
          <w:b/>
          <w:color w:val="16A34A"/>
          <w:sz w:val="22"/>
        </w:rPr>
        <w:t>Stable</w:t>
      </w:r>
    </w:p>
    <w:p>
      <w:pPr>
        <w:pStyle w:val="HSBody"/>
      </w:pPr>
      <w:r>
        <w:t>Established formula program under NAHASDA. Reauthorization pending but baseline funding stable.</w:t>
      </w:r>
    </w:p>
    <w:p>
      <w:pPr>
        <w:pStyle w:val="HSSection"/>
      </w:pPr>
      <w:r>
        <w:t>Program Overview</w:t>
      </w:r>
    </w:p>
    <w:p>
      <w:pPr>
        <w:pStyle w:val="HSBody"/>
      </w:pPr>
      <w:r>
        <w:t>HUD Indian Housing Block Grant program under NAHASDA.</w:t>
      </w:r>
    </w:p>
    <w:p>
      <w:pPr>
        <w:pStyle w:val="HSBody"/>
      </w:pPr>
      <w:r>
        <w:t>Federal Home: Department of Housing and Urban Development</w:t>
      </w:r>
    </w:p>
    <w:p>
      <w:pPr>
        <w:pStyle w:val="HSSection"/>
      </w:pPr>
      <w:r>
        <w:t>Award History</w:t>
      </w:r>
    </w:p>
    <w:p>
      <w:pPr>
        <w:pStyle w:val="HSBody"/>
      </w:pPr>
      <w:r>
        <w:rPr>
          <w:b/>
        </w:rPr>
        <w:t>First-Time Applicant Advantage</w:t>
      </w:r>
    </w:p>
    <w:p>
      <w:pPr>
        <w:pStyle w:val="HSBody"/>
      </w:pPr>
      <w:r>
        <w:t>Wilton Rancheria, California has not yet received funding through HUD IHBG. This positions the Tribe as a first-time applicant -- a category often given priority consideration in competitive programs.</w:t>
      </w:r>
    </w:p>
    <w:p>
      <w:pPr>
        <w:pStyle w:val="HSSection"/>
      </w:pPr>
      <w:r>
        <w:t>Local Hazard Relevance</w:t>
      </w:r>
    </w:p>
    <w:p>
      <w:pPr>
        <w:pStyle w:val="HSBody"/>
      </w:pPr>
      <w:r>
        <w:t>Wildfire -- Risk Score: 94.2 -- (Very High)</w:t>
      </w:r>
    </w:p>
    <w:p>
      <w:pPr>
        <w:pStyle w:val="HSBody"/>
      </w:pPr>
      <w:r>
        <w:t>Earthquake -- Risk Score: 93.1 -- (Very High)</w:t>
      </w:r>
    </w:p>
    <w:p>
      <w:pPr>
        <w:pStyle w:val="HSBody"/>
      </w:pPr>
      <w:r>
        <w:t>Landslide -- Risk Score: 89.0 -- (Very High)</w:t>
      </w:r>
    </w:p>
    <w:p>
      <w:pPr>
        <w:pStyle w:val="HSSection"/>
      </w:pPr>
      <w:r>
        <w:t>District Economic Impact</w:t>
      </w:r>
    </w:p>
    <w:p>
      <w:pPr>
        <w:pStyle w:val="HSBody"/>
      </w:pPr>
      <w:r>
        <w:t>Based on program averages for HUD IHBG:</w:t>
      </w:r>
    </w:p>
    <w:p>
      <w:pPr>
        <w:pStyle w:val="HSBody"/>
      </w:pPr>
      <w:r>
        <w:t>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Body"/>
      </w:pPr>
      <w:r>
        <w:t>Hazard Alignment: Wilton Rancheria, California's wildfire risk profile reinforces the economic case for continued federal investment in HUD IHBG.</w:t>
      </w:r>
    </w:p>
    <w:p>
      <w:pPr>
        <w:pStyle w:val="HSSection"/>
      </w:pPr>
      <w:r>
        <w:t>Key Ask</w:t>
      </w:r>
    </w:p>
    <w:p>
      <w:pPr>
        <w:pStyle w:val="HSCallout"/>
        <w:shd w:fill="EEF2FF" w:val="clear"/>
      </w:pPr>
      <w:r>
        <w:t>ASK: HUD Indian Housing Block Grant program under NAHASDA.</w:t>
      </w:r>
    </w:p>
    <w:p>
      <w:pPr>
        <w:pStyle w:val="HSCalloutDetail"/>
        <w:shd w:fill="EEF2FF" w:val="clear"/>
      </w:pPr>
      <w:r>
        <w:t>WHY: Wilton Rancheria, California's Wildfire, Earthquake and Landslide risk makes this program critical for community resilience</w:t>
      </w:r>
    </w:p>
    <w:p>
      <w:pPr>
        <w:pStyle w:val="HSCalloutDetail"/>
        <w:shd w:fill="EEF2FF" w:val="clear"/>
      </w:pPr>
      <w:r>
        <w:t>IMPACT: Based on program averages, a successful HUD IHBG application could generate an estimated $720,000-$960,000 in regional economic impact, supporting approximately 3-6 jobs (BEA RIMS II methodology, output multiplier range 1.8-2.4x; BLS employment requirements methodology).</w:t>
      </w:r>
    </w:p>
    <w:p>
      <w:pPr>
        <w:pStyle w:val="HSSection"/>
      </w:pPr>
      <w:r>
        <w:t>Structural Policy Asks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Small"/>
      </w:pPr>
      <w:r>
        <w:t>Evidence: Wildfire risk profile</w:t>
      </w:r>
    </w:p>
    <w:p>
      <w:pPr>
        <w:pStyle w:val="HSSection"/>
      </w:pPr>
      <w:r>
        <w:t>Your Delegation</w:t>
      </w:r>
    </w:p>
    <w:p>
      <w:pPr>
        <w:pStyle w:val="HSBody"/>
      </w:pPr>
      <w:r>
        <w:t>Congressional delegation data not available.</w:t>
      </w:r>
    </w:p>
    <w:p>
      <w:pPr>
        <w:pBdr>
          <w:bottom w:val="single" w:sz="2" w:space="6" w:color="D1D5DB"/>
        </w:pBdr>
        <w:spacing w:before="40" w:after="40"/>
      </w:pPr>
      <w:r>
        <w:rPr>
          <w:sz w:val="4"/>
        </w:rPr>
      </w:r>
    </w:p>
    <w:p>
      <w:pPr>
        <w:pStyle w:val="HSSmall"/>
      </w:pPr>
      <w:r>
        <w:t>Economic impact estimates derived from Bureau of Economic Analysis (BEA) RIMS II regional input-output multipliers (output multiplier range 1.8-2.4x for federal government spending). Employment estimates based on Bureau of Labor Statistics (BLS) employment requirements tables (8-15 jobs per $1M in federal spending). Benefit-cost ratio for mitigation programs from FEMA/National Institute of Building Sciences (NIBS) Natural Hazard Mitigation Saves (MitSaves) 2018 Interim Report, reporting $4 average return per $1 invested in federal mitigation grants.</w:t>
      </w:r>
    </w:p>
    <w:p>
      <w:r>
        <w:br w:type="page"/>
      </w:r>
    </w:p>
    <w:p>
      <w:pPr>
        <w:pStyle w:val="Heading2"/>
      </w:pPr>
      <w:r>
        <w:t>Climate Hazard Profile</w:t>
      </w:r>
    </w:p>
    <w:p>
      <w:pPr>
        <w:pStyle w:val="HSSmall"/>
      </w:pPr>
      <w:r>
        <w:t>Source: FEMA National Risk Index, county-level data aggregated to Tribal geographic boundaries.</w:t>
      </w:r>
    </w:p>
    <w:p>
      <w:pPr>
        <w:pStyle w:val="HSBody"/>
      </w:pPr>
      <w:r>
        <w:t>Overall Risk Rating: Very High (Score: 88.7)</w:t>
      </w:r>
    </w:p>
    <w:p>
      <w:pPr>
        <w:pStyle w:val="HSBody"/>
      </w:pPr>
      <w:r>
        <w:t>Social Vulnerability: Relatively Moderate (Score: 47.6)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Hazard Type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Score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Risk Rating</w:t>
            </w:r>
          </w:p>
        </w:tc>
        <w:tc>
          <w:tcPr>
            <w:tcW w:type="dxa" w:w="2340"/>
            <w:shd w:fill="1A237E" w:val="clear"/>
          </w:tcPr>
          <w:p>
            <w:r>
              <w:rPr>
                <w:rFonts w:ascii="Arial" w:hAnsi="Arial"/>
                <w:b/>
                <w:color w:val="FFFFFF"/>
                <w:sz w:val="18"/>
              </w:rPr>
              <w:t>Expected Annual Loss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Wildfire</w:t>
            </w:r>
          </w:p>
        </w:tc>
        <w:tc>
          <w:tcPr>
            <w:tcW w:type="dxa" w:w="2340"/>
            <w:shd w:fill="F2F2F2" w:val="clear"/>
          </w:tcPr>
          <w:p>
            <w:r>
              <w:t>94.2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$30,816,644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Earthquake</w:t>
            </w:r>
          </w:p>
        </w:tc>
        <w:tc>
          <w:tcPr>
            <w:tcW w:type="dxa" w:w="2340"/>
            <w:shd w:fill="FFFFFF" w:val="clear"/>
          </w:tcPr>
          <w:p>
            <w:r>
              <w:t>93.1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$256,090,458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Landslide</w:t>
            </w:r>
          </w:p>
        </w:tc>
        <w:tc>
          <w:tcPr>
            <w:tcW w:type="dxa" w:w="2340"/>
            <w:shd w:fill="F2F2F2" w:val="clear"/>
          </w:tcPr>
          <w:p>
            <w:r>
              <w:t>89.0</w:t>
            </w:r>
          </w:p>
        </w:tc>
        <w:tc>
          <w:tcPr>
            <w:tcW w:type="dxa" w:w="2340"/>
            <w:shd w:fill="F2F2F2" w:val="clear"/>
          </w:tcPr>
          <w:p>
            <w:r>
              <w:t>Very High</w:t>
            </w:r>
          </w:p>
        </w:tc>
        <w:tc>
          <w:tcPr>
            <w:tcW w:type="dxa" w:w="2340"/>
            <w:shd w:fill="F2F2F2" w:val="clear"/>
          </w:tcPr>
          <w:p>
            <w:r>
              <w:t>$2,242,311</w:t>
            </w:r>
          </w:p>
        </w:tc>
      </w:tr>
      <w:tr>
        <w:tc>
          <w:tcPr>
            <w:tcW w:type="dxa" w:w="2340"/>
            <w:shd w:fill="FFFFFF" w:val="clear"/>
          </w:tcPr>
          <w:p>
            <w:r>
              <w:t>Inland Flooding</w:t>
            </w:r>
          </w:p>
        </w:tc>
        <w:tc>
          <w:tcPr>
            <w:tcW w:type="dxa" w:w="2340"/>
            <w:shd w:fill="FFFFFF" w:val="clear"/>
          </w:tcPr>
          <w:p>
            <w:r>
              <w:t>85.8</w:t>
            </w:r>
          </w:p>
        </w:tc>
        <w:tc>
          <w:tcPr>
            <w:tcW w:type="dxa" w:w="2340"/>
            <w:shd w:fill="FFFFFF" w:val="clear"/>
          </w:tcPr>
          <w:p>
            <w:r>
              <w:t>Very High</w:t>
            </w:r>
          </w:p>
        </w:tc>
        <w:tc>
          <w:tcPr>
            <w:tcW w:type="dxa" w:w="2340"/>
            <w:shd w:fill="FFFFFF" w:val="clear"/>
          </w:tcPr>
          <w:p>
            <w:r>
              <w:t>$201,074,795</w:t>
            </w:r>
          </w:p>
        </w:tc>
      </w:tr>
      <w:tr>
        <w:tc>
          <w:tcPr>
            <w:tcW w:type="dxa" w:w="2340"/>
            <w:shd w:fill="F2F2F2" w:val="clear"/>
          </w:tcPr>
          <w:p>
            <w:r>
              <w:t>Drought</w:t>
            </w:r>
          </w:p>
        </w:tc>
        <w:tc>
          <w:tcPr>
            <w:tcW w:type="dxa" w:w="2340"/>
            <w:shd w:fill="F2F2F2" w:val="clear"/>
          </w:tcPr>
          <w:p>
            <w:r>
              <w:t>79.5</w:t>
            </w:r>
          </w:p>
        </w:tc>
        <w:tc>
          <w:tcPr>
            <w:tcW w:type="dxa" w:w="2340"/>
            <w:shd w:fill="F2F2F2" w:val="clear"/>
          </w:tcPr>
          <w:p>
            <w:r>
              <w:t>Relatively High</w:t>
            </w:r>
          </w:p>
        </w:tc>
        <w:tc>
          <w:tcPr>
            <w:tcW w:type="dxa" w:w="2340"/>
            <w:shd w:fill="F2F2F2" w:val="clear"/>
          </w:tcPr>
          <w:p>
            <w:r>
              <w:t>$17,269,090</w:t>
            </w:r>
          </w:p>
        </w:tc>
      </w:tr>
    </w:tbl>
    <w:p>
      <w:r>
        <w:br w:type="page"/>
      </w:r>
    </w:p>
    <w:p>
      <w:pPr>
        <w:pStyle w:val="Heading2"/>
      </w:pPr>
      <w:r>
        <w:t>Structural Policy Asks</w:t>
      </w:r>
    </w:p>
    <w:p>
      <w:pPr>
        <w:pStyle w:val="HSBody"/>
      </w:pPr>
      <w:r>
        <w:t>The following structural policy changes would advance climate resilience funding for Wilton Rancheria, California and similarly situated Tribes.</w:t>
      </w:r>
    </w:p>
    <w:p>
      <w:pPr>
        <w:pStyle w:val="HSBody"/>
      </w:pPr>
      <w:r>
        <w:rPr>
          <w:b/>
        </w:rPr>
        <w:t>Multi-Year Funding Stability [FY26]</w:t>
      </w:r>
    </w:p>
    <w:p>
      <w:pPr>
        <w:pStyle w:val="HSBody"/>
      </w:pPr>
      <w:r>
        <w:t>Shift from annual discretionary to multi-year or permanent authorization for core Tribal climate programs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doe_indian_energy, noaa_tribal, epa_stag, dot_protect, usbr_watersmart, usda_wildfire, hud_ihbg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Match/Cost-Share Waivers [Immediate]</w:t>
      </w:r>
    </w:p>
    <w:p>
      <w:pPr>
        <w:pStyle w:val="HSBody"/>
      </w:pPr>
      <w:r>
        <w:t>Categorical Tribal exemptions from cost-share requirements based on trust responsibility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usda_wildfire, usbr_watersmart, fema_tribal_mitigation, fema_bric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Direct Tribal Access [FY26]</w:t>
      </w:r>
    </w:p>
    <w:p>
      <w:pPr>
        <w:pStyle w:val="HSBody"/>
      </w:pPr>
      <w:r>
        <w:t>Non-competitive, formula-based, or direct-service pathways that bypass state pass-through bottlenecks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bia_tcr, dot_protect, usbr_watersmart, epa_stag</w:t>
      </w:r>
    </w:p>
    <w:p>
      <w:pPr>
        <w:pStyle w:val="HSSmall"/>
      </w:pPr>
      <w:r>
        <w:t>Evidence: Wildfire risk profile</w:t>
      </w:r>
    </w:p>
    <w:p>
      <w:pPr>
        <w:pStyle w:val="HSBody"/>
      </w:pPr>
      <w:r>
        <w:rPr>
          <w:b/>
        </w:rPr>
        <w:t>Tribal Consultation Compliance [Ongoing]</w:t>
      </w:r>
    </w:p>
    <w:p>
      <w:pPr>
        <w:pStyle w:val="HSBody"/>
      </w:pPr>
      <w:r>
        <w:t>Enforceable consultation requirements (EO 13175) with reporting accountability</w:t>
      </w:r>
    </w:p>
    <w:p>
      <w:pPr>
        <w:pStyle w:val="HSBody"/>
      </w:pPr>
      <w:r>
        <w:t>Target: Agency</w:t>
      </w:r>
    </w:p>
    <w:p>
      <w:pPr>
        <w:pStyle w:val="HSBody"/>
      </w:pPr>
      <w:r>
        <w:t>Programs advanced: fema_tribal_mitigation, bia_tcr, epa_gap, epa_tribal_air</w:t>
      </w:r>
    </w:p>
    <w:p>
      <w:pPr>
        <w:pStyle w:val="HSSmall"/>
      </w:pPr>
      <w:r>
        <w:t>Evidence: Active awards in affected programs; Wildfire risk profile</w:t>
      </w:r>
    </w:p>
    <w:p>
      <w:pPr>
        <w:pStyle w:val="HSBody"/>
      </w:pPr>
      <w:r>
        <w:rPr>
          <w:b/>
        </w:rPr>
        <w:t>Data Sovereignty &amp; Capacity [FY26]</w:t>
      </w:r>
    </w:p>
    <w:p>
      <w:pPr>
        <w:pStyle w:val="HSBody"/>
      </w:pPr>
      <w:r>
        <w:t>Tribal control over climate/environmental data with federal TA funding for data infrastructure</w:t>
      </w:r>
    </w:p>
    <w:p>
      <w:pPr>
        <w:pStyle w:val="HSBody"/>
      </w:pPr>
      <w:r>
        <w:t>Target: Congress</w:t>
      </w:r>
    </w:p>
    <w:p>
      <w:pPr>
        <w:pStyle w:val="HSBody"/>
      </w:pPr>
      <w:r>
        <w:t>Programs advanced: bia_tcr, epa_gap, epa_stag, noaa_tribal, epa_tribal_air</w:t>
      </w:r>
    </w:p>
    <w:p>
      <w:pPr>
        <w:pStyle w:val="HSSmall"/>
      </w:pPr>
      <w:r>
        <w:t>Evidence: Active awards in affected programs; Wildfire risk profile</w:t>
      </w:r>
    </w:p>
    <w:p>
      <w:r>
        <w:br w:type="page"/>
      </w:r>
    </w:p>
    <w:p>
      <w:pPr>
        <w:pStyle w:val="Heading2"/>
      </w:pPr>
      <w:r>
        <w:t>Appendix: Additional Programs</w:t>
      </w:r>
    </w:p>
    <w:p>
      <w:pPr>
        <w:pStyle w:val="HSBody"/>
      </w:pPr>
      <w:r>
        <w:t>The following programs were assessed as lower priority for Wilton Rancheria, California based on hazard profile and geographic relevance. They may still be relevant for specific project needs.</w:t>
      </w:r>
    </w:p>
    <w:p>
      <w:pPr>
        <w:pStyle w:val="HSBody"/>
      </w:pPr>
      <w:r>
        <w:rPr>
          <w:b/>
        </w:rPr>
        <w:t>NOAA Tribal Grants</w:t>
      </w:r>
      <w:r>
        <w:t xml:space="preserve">  [Uncertain]</w:t>
      </w:r>
    </w:p>
    <w:p>
      <w:pPr>
        <w:pStyle w:val="HSBody"/>
      </w:pPr>
      <w:r>
        <w:t>NOAA programs supporting Tribal climate and coastal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NOAA for current application information.</w:t>
      </w:r>
    </w:p>
    <w:p>
      <w:pPr>
        <w:pStyle w:val="HSBody"/>
      </w:pPr>
      <w:r>
        <w:rPr>
          <w:b/>
        </w:rPr>
        <w:t>Tribal Community Resilience Annual Awards</w:t>
      </w:r>
      <w:r>
        <w:t xml:space="preserve">  [Stable]</w:t>
      </w:r>
    </w:p>
    <w:p>
      <w:pPr>
        <w:pStyle w:val="HSBody"/>
      </w:pPr>
      <w:r>
        <w:t>BIA annual awards program for Tribal community resilience projects. Complements the core TCR program with implementation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BIA for current application information.</w:t>
      </w:r>
    </w:p>
    <w:p>
      <w:pPr>
        <w:pStyle w:val="HSBody"/>
      </w:pPr>
      <w:r>
        <w:rPr>
          <w:b/>
        </w:rPr>
        <w:t>Tribal Air Quality Management</w:t>
      </w:r>
      <w:r>
        <w:t xml:space="preserve">  [Stable]</w:t>
      </w:r>
    </w:p>
    <w:p>
      <w:pPr>
        <w:pStyle w:val="HSBody"/>
      </w:pPr>
      <w:r>
        <w:t>EPA program supporting Tribal air quality monitoring and management under Clean Air Act §105.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EPA for current application information.</w:t>
      </w:r>
    </w:p>
    <w:p>
      <w:pPr>
        <w:pStyle w:val="HSBody"/>
      </w:pPr>
      <w:r>
        <w:rPr>
          <w:b/>
        </w:rPr>
        <w:t>FHWA TTP Safety</w:t>
      </w:r>
      <w:r>
        <w:t xml:space="preserve">  [Stable]</w:t>
      </w:r>
    </w:p>
    <w:p>
      <w:pPr>
        <w:pStyle w:val="HSBody"/>
      </w:pPr>
      <w:r>
        <w:t>FHWA Tribal Transportation Program safety funding.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FHWA for current application information.</w:t>
      </w:r>
    </w:p>
    <w:p>
      <w:pPr>
        <w:pStyle w:val="HSBody"/>
      </w:pPr>
      <w:r>
        <w:rPr>
          <w:b/>
        </w:rPr>
        <w:t>USBR WaterSMART</w:t>
      </w:r>
      <w:r>
        <w:t xml:space="preserve">  [Uncertain]</w:t>
      </w:r>
    </w:p>
    <w:p>
      <w:pPr>
        <w:pStyle w:val="HSBody"/>
      </w:pPr>
      <w:r>
        <w:t>Bureau of Reclamation WaterSMART grants for water conservation and drought resilience.</w:t>
      </w:r>
    </w:p>
    <w:p>
      <w:pPr>
        <w:pStyle w:val="HSSmall"/>
      </w:pPr>
      <w:r>
        <w:t>Access: Competitive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p>
      <w:pPr>
        <w:pStyle w:val="HSBody"/>
      </w:pPr>
      <w:r>
        <w:rPr>
          <w:b/>
        </w:rPr>
        <w:t>USBR TAP</w:t>
      </w:r>
      <w:r>
        <w:t xml:space="preserve">  [Stable]</w:t>
      </w:r>
    </w:p>
    <w:p>
      <w:pPr>
        <w:pStyle w:val="HSBody"/>
      </w:pPr>
      <w:r>
        <w:t>Bureau of Reclamation Technical Assistance Program.</w:t>
      </w:r>
    </w:p>
    <w:p>
      <w:pPr>
        <w:pStyle w:val="HSSmall"/>
      </w:pPr>
      <w:r>
        <w:t>Access: Direct | Funding: Discretionary</w:t>
      </w:r>
    </w:p>
    <w:p>
      <w:pPr>
        <w:pStyle w:val="HSSmall"/>
      </w:pPr>
      <w:r>
        <w:t>Learn more: Contact your program specialist or visit Reclamation for current application information.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4B5563"/>
        <w:sz w:val="14"/>
      </w:rPr>
      <w:t>For Congressional Office Use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rFonts w:ascii="Arial" w:hAnsi="Arial"/>
        <w:color w:val="4B5563"/>
        <w:sz w:val="16"/>
      </w:rPr>
      <w:t>Wilton Rancheria, California | FY26 Climate Resilience Program Priorities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line="276" w:lineRule="auto" w:after="80"/>
      <w:jc w:val="left"/>
    </w:pPr>
    <w:rPr>
      <w:rFonts w:ascii="Arial" w:hAnsi="Arial"/>
      <w:color w:val="1F2937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A237E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374151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374151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HSTitle">
    <w:name w:val="HS Title"/>
    <w:pPr>
      <w:spacing w:after="120"/>
    </w:pPr>
    <w:rPr>
      <w:rFonts w:ascii="Arial" w:hAnsi="Arial"/>
      <w:b/>
      <w:color w:val="1A237E"/>
      <w:sz w:val="36"/>
    </w:rPr>
  </w:style>
  <w:style w:type="paragraph" w:customStyle="1" w:styleId="HSSubtitle">
    <w:name w:val="HS Subtitle"/>
    <w:pPr>
      <w:spacing w:after="80"/>
    </w:pPr>
    <w:rPr>
      <w:rFonts w:ascii="Arial" w:hAnsi="Arial"/>
      <w:b w:val="0"/>
      <w:color w:val="374151"/>
      <w:sz w:val="24"/>
    </w:rPr>
  </w:style>
  <w:style w:type="paragraph" w:customStyle="1" w:styleId="HSSection">
    <w:name w:val="HS Section"/>
    <w:pPr>
      <w:spacing w:after="80" w:before="240"/>
    </w:pPr>
    <w:rPr>
      <w:rFonts w:ascii="Arial" w:hAnsi="Arial"/>
      <w:b/>
      <w:color w:val="374151"/>
      <w:sz w:val="24"/>
    </w:rPr>
  </w:style>
  <w:style w:type="paragraph" w:customStyle="1" w:styleId="HSBody">
    <w:name w:val="HS Body"/>
    <w:pPr>
      <w:spacing w:after="80"/>
    </w:pPr>
    <w:rPr>
      <w:rFonts w:ascii="Arial" w:hAnsi="Arial"/>
      <w:b w:val="0"/>
      <w:color w:val="1F2937"/>
      <w:sz w:val="20"/>
    </w:rPr>
  </w:style>
  <w:style w:type="paragraph" w:customStyle="1" w:styleId="HSSmall">
    <w:name w:val="HS Small"/>
    <w:pPr>
      <w:spacing w:after="40"/>
    </w:pPr>
    <w:rPr>
      <w:rFonts w:ascii="Arial" w:hAnsi="Arial"/>
      <w:b w:val="0"/>
      <w:color w:val="6B7280"/>
      <w:sz w:val="16"/>
    </w:rPr>
  </w:style>
  <w:style w:type="paragraph" w:customStyle="1" w:styleId="HSCallout">
    <w:name w:val="HS Callout"/>
    <w:pPr>
      <w:spacing w:before="160"/>
      <w:ind w:left="432"/>
    </w:pPr>
    <w:rPr>
      <w:rFonts w:ascii="Arial" w:hAnsi="Arial"/>
      <w:b/>
      <w:color w:val="1F2937"/>
      <w:sz w:val="20"/>
    </w:rPr>
  </w:style>
  <w:style w:type="paragraph" w:customStyle="1" w:styleId="HSCalloutDetail">
    <w:name w:val="HS Callout Detail"/>
    <w:pPr>
      <w:spacing w:after="40"/>
      <w:ind w:left="432"/>
    </w:pPr>
    <w:rPr>
      <w:rFonts w:ascii="Arial" w:hAnsi="Arial"/>
      <w:b w:val="0"/>
      <w:color w:val="1F2937"/>
      <w:sz w:val="20"/>
    </w:rPr>
  </w:style>
  <w:style w:type="paragraph" w:customStyle="1" w:styleId="HSColumnPrimary">
    <w:name w:val="HS Column Primary"/>
    <w:pPr>
      <w:widowControl/>
      <w:spacing w:after="80" w:line="276" w:lineRule="auto"/>
      <w:jc w:val="left"/>
    </w:pPr>
    <w:rPr>
      <w:rFonts w:ascii="Arial" w:hAnsi="Arial"/>
      <w:b w:val="0"/>
      <w:color w:val="1F2937"/>
      <w:sz w:val="20"/>
    </w:rPr>
  </w:style>
  <w:style w:type="paragraph" w:customStyle="1" w:styleId="HSColumnSecondary">
    <w:name w:val="HS Column Secondary"/>
    <w:pPr>
      <w:widowControl/>
      <w:spacing w:after="6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BoxTitle">
    <w:name w:val="HS Box Title"/>
    <w:pPr>
      <w:widowControl/>
      <w:spacing w:after="40" w:line="276" w:lineRule="auto"/>
      <w:jc w:val="left"/>
    </w:pPr>
    <w:rPr>
      <w:rFonts w:ascii="Arial" w:hAnsi="Arial"/>
      <w:b/>
      <w:color w:val="374151"/>
      <w:sz w:val="20"/>
    </w:rPr>
  </w:style>
  <w:style w:type="paragraph" w:customStyle="1" w:styleId="HSBoxBody">
    <w:name w:val="HS Box Body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AskLabel">
    <w:name w:val="HS Ask Label"/>
    <w:pPr>
      <w:widowControl/>
      <w:spacing w:after="20" w:line="276" w:lineRule="auto"/>
      <w:jc w:val="left"/>
    </w:pPr>
    <w:rPr>
      <w:rFonts w:ascii="Arial" w:hAnsi="Arial"/>
      <w:b/>
      <w:color w:val="1A237E"/>
      <w:sz w:val="20"/>
    </w:rPr>
  </w:style>
  <w:style w:type="paragraph" w:customStyle="1" w:styleId="HSAskDetail">
    <w:name w:val="HS Ask Detail"/>
    <w:pPr>
      <w:widowControl/>
      <w:spacing w:after="40" w:line="276" w:lineRule="auto"/>
      <w:jc w:val="left"/>
    </w:pPr>
    <w:rPr>
      <w:rFonts w:ascii="Arial" w:hAnsi="Arial"/>
      <w:b w:val="0"/>
      <w:color w:val="1F2937"/>
      <w:sz w:val="18"/>
    </w:rPr>
  </w:style>
  <w:style w:type="paragraph" w:customStyle="1" w:styleId="HSFooter">
    <w:name w:val="HS Footer"/>
    <w:pPr>
      <w:widowControl/>
      <w:spacing w:after="0" w:line="276" w:lineRule="auto"/>
      <w:jc w:val="left"/>
    </w:pPr>
    <w:rPr>
      <w:rFonts w:ascii="Arial" w:hAnsi="Arial"/>
      <w:b w:val="0"/>
      <w:color w:val="6B7280"/>
      <w:sz w:val="14"/>
    </w:rPr>
  </w:style>
  <w:style w:type="paragraph" w:customStyle="1" w:styleId="HSCaption">
    <w:name w:val="HS Caption"/>
    <w:pPr>
      <w:widowControl/>
      <w:spacing w:after="40"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PageNumber">
    <w:name w:val="HS Page Number"/>
    <w:pPr>
      <w:widowControl/>
      <w:spacing w:line="276" w:lineRule="auto"/>
      <w:jc w:val="left"/>
    </w:pPr>
    <w:rPr>
      <w:rFonts w:ascii="Arial" w:hAnsi="Arial"/>
      <w:b w:val="0"/>
      <w:color w:val="6B7280"/>
      <w:sz w:val="16"/>
    </w:rPr>
  </w:style>
  <w:style w:type="paragraph" w:customStyle="1" w:styleId="HSTableHeader">
    <w:name w:val="HS Table Header"/>
    <w:pPr>
      <w:spacing w:after="0"/>
    </w:pPr>
    <w:rPr>
      <w:rFonts w:ascii="Arial" w:hAnsi="Arial"/>
      <w:b/>
      <w:color w:val="FFFFFF"/>
      <w:sz w:val="18"/>
    </w:rPr>
  </w:style>
  <w:style w:type="paragraph" w:customStyle="1" w:styleId="HSTableBody">
    <w:name w:val="HS Table Body"/>
    <w:pPr>
      <w:spacing w:after="0"/>
    </w:pPr>
    <w:rPr>
      <w:rFonts w:ascii="Arial" w:hAnsi="Arial"/>
      <w:b w:val="0"/>
      <w:color w:val="1F2937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