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$1,533,604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$370,248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$638,248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Council generated an estimated $1,148,846-$1,531,795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Council generated an estimated $1,148,846-$1,531,795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