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Elim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Elim's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Elim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$525,442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$149,022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2020-06-01 - 2023-11-30</w:t>
            </w:r>
          </w:p>
        </w:tc>
      </w:tr>
    </w:tbl>
    <w:p>
      <w:pPr>
        <w:pStyle w:val="HSBody"/>
      </w:pPr>
      <w:r>
        <w:rPr>
          <w:b/>
        </w:rPr>
        <w:t>Total: $149,022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Elim generated an estimated $268,240-$357,653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Elim generated an estimated $268,240-$357,653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$376,420</w:t>
            </w:r>
          </w:p>
        </w:tc>
        <w:tc>
          <w:tcPr>
            <w:tcW w:type="dxa" w:w="2340"/>
            <w:shd w:fill="F2F2F2" w:val="clear"/>
          </w:tcPr>
          <w:p>
            <w:r>
              <w:t>2022-10-03 - 2026-09-30</w:t>
            </w:r>
          </w:p>
        </w:tc>
      </w:tr>
    </w:tbl>
    <w:p>
      <w:pPr>
        <w:pStyle w:val="HSBody"/>
      </w:pPr>
      <w:r>
        <w:rPr>
          <w:b/>
        </w:rPr>
        <w:t>Total: $376,420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Elim generated an estimated $677,556-$903,408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Elim generated an estimated $677,556-$903,408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Elim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Elim's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Elim's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Elim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Elim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Elim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