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Fort Yukon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Fort Yukon's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Fort Yukon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$16,262,106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2023-08-21 - 2025-09-30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$5,400,000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Fort Yukon generated an estimated $9,720,000-$12,960,000 in regional economic activity (BEA RIMS II methodology, output multiplier range 1.8-2.4x), supporting approximately 43-81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Fort Yukon generated an estimated $9,720,000-$12,960,000 in regional economic activity (BEA RIMS II methodology, output multiplier range 1.8-2.4x), supporting approximately 43-81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Fort Yukon generated an estimated $1,400,396-$1,867,195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Fort Yukon generated an estimated $1,400,396-$1,867,195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$8,945,718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$8,945,718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Fort Yukon generated an estimated $16,102,292-$21,469,723 in regional economic activity (BEA RIMS II methodology, output multiplier range 1.8-2.4x), supporting approximately 72-134 jobs (BLS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Fort Yukon generated an estimated $16,102,292-$21,469,723 in regional economic activity (BEA RIMS II methodology, output multiplier range 1.8-2.4x), supporting approximately 72-134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Fort Yukon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Fort Yukon's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Fort Yukon's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Fort Yukon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Fort Yukon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Fort Yukon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