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Mekoryuk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Mekoryuk's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Mekoryuk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$1,988,234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$490,605</w:t>
            </w:r>
          </w:p>
        </w:tc>
        <w:tc>
          <w:tcPr>
            <w:tcW w:type="dxa" w:w="2340"/>
            <w:shd w:fill="F2F2F2" w:val="clear"/>
          </w:tcPr>
          <w:p>
            <w:r>
              <w:t>2019-01-01 - 2023-12-31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$393,000</w:t>
            </w:r>
          </w:p>
        </w:tc>
        <w:tc>
          <w:tcPr>
            <w:tcW w:type="dxa" w:w="2340"/>
            <w:shd w:fill="FFFFFF" w:val="clear"/>
          </w:tcPr>
          <w:p>
            <w:r>
              <w:t>2024-01-01 - 2026-12-31</w:t>
            </w:r>
          </w:p>
        </w:tc>
      </w:tr>
    </w:tbl>
    <w:p>
      <w:pPr>
        <w:pStyle w:val="HSBody"/>
      </w:pPr>
      <w:r>
        <w:rPr>
          <w:b/>
        </w:rPr>
        <w:t>Total: $883,605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Mekoryuk generated an estimated $1,590,489-$2,120,652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Mekoryuk generated an estimated $1,590,489-$2,120,652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Mekoryuk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Mekoryuk's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Mekoryuk's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Mekoryuk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Mekoryuk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Mekoryuk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