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Stony River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Stony River's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Stony River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$1,685,099</w:t>
      </w:r>
    </w:p>
    <w:p>
      <w:pPr>
        <w:pStyle w:val="HSBody"/>
      </w:pPr>
      <w:r>
        <w:t>9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$507,770</w:t>
            </w:r>
          </w:p>
        </w:tc>
        <w:tc>
          <w:tcPr>
            <w:tcW w:type="dxa" w:w="2340"/>
            <w:shd w:fill="F2F2F2" w:val="clear"/>
          </w:tcPr>
          <w:p>
            <w:r>
              <w:t>2020-10-01 - 2024-09-30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$246,246</w:t>
            </w:r>
          </w:p>
        </w:tc>
        <w:tc>
          <w:tcPr>
            <w:tcW w:type="dxa" w:w="2340"/>
            <w:shd w:fill="FFFFFF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$754,016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Stony River generated an estimated $1,357,229-$1,809,638 in regional economic activity (BEA RIMS II methodology, output multiplier range 1.8-2.4x), supporting approximately 6-11 jobs (BLS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Stony River generated an estimated $1,357,229-$1,809,638 in regional economic activity (BEA RIMS II methodology, output multiplier range 1.8-2.4x), supporting approximately 6-11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Stony River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Stony River's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Stony River's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Stony River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Stony River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Stony River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