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Unga</w:t>
      </w:r>
    </w:p>
    <w:p>
      <w:pPr>
        <w:pStyle w:val="HSBody"/>
      </w:pPr>
      <w:r>
        <w:t>Prepared for the offices of: No delegation data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Unga's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Unga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$2,398,698</w:t>
      </w:r>
    </w:p>
    <w:p>
      <w:pPr>
        <w:pStyle w:val="HSBody"/>
      </w:pPr>
      <w:r>
        <w:t>7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0 Senator(s) and 0 Representative(s) across 0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p>
      <w:pPr>
        <w:pStyle w:val="HSBody"/>
      </w:pPr>
      <w:r>
        <w:t>Congressional delegation data not available.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Unga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Unga's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Unga's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Unga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Unga's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Unga's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Unga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Unga's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Unga's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Unga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Unga's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Unga's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Unga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Unga's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Unga's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$528,000</w:t>
            </w:r>
          </w:p>
        </w:tc>
        <w:tc>
          <w:tcPr>
            <w:tcW w:type="dxa" w:w="2340"/>
            <w:shd w:fill="F2F2F2" w:val="clear"/>
          </w:tcPr>
          <w:p>
            <w:r>
              <w:t>2022-10-01 - 2026-09-30</w:t>
            </w:r>
          </w:p>
        </w:tc>
      </w:tr>
    </w:tbl>
    <w:p>
      <w:pPr>
        <w:pStyle w:val="HSBody"/>
      </w:pPr>
      <w:r>
        <w:rPr>
          <w:b/>
        </w:rPr>
        <w:t>Total: $528,000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Unga generated an estimated $950,400-$1,267,200 in regional economic activity (BEA RIMS II methodology, output multiplier range 1.8-2.4x), supporting approximately 4-8 jobs (BLS employment requirements methodology).</w:t>
      </w:r>
    </w:p>
    <w:p>
      <w:pPr>
        <w:pStyle w:val="HSBody"/>
      </w:pPr>
      <w:r>
        <w:t>Hazard Alignment: Native Village of Unga's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Unga's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Unga generated an estimated $950,400-$1,267,200 in regional economic activity (BEA RIMS II methodology, output multiplier range 1.8-2.4x), supporting approximately 4-8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Unga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Unga's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Unga's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Unga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Unga's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Unga's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Unga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Unga's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Unga's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Unga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Native Village of Unga's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Unga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Native Village of Unga's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Unga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Unga's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Unga's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Unga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Unga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Unga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