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Wainwright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Wainwright's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Wainwright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$628,271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$249,992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2020-10-01 - 2023-09-30</w:t>
            </w:r>
          </w:p>
        </w:tc>
      </w:tr>
    </w:tbl>
    <w:p>
      <w:pPr>
        <w:pStyle w:val="HSBody"/>
      </w:pPr>
      <w:r>
        <w:rPr>
          <w:b/>
        </w:rPr>
        <w:t>Total: $249,992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Wainwright generated an estimated $449,986-$599,981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Wainwright generated an estimated $449,986-$599,981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Wainwright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Wainwright's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Wainwright's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Wainwright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Wainwright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Wainwright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