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Ak-Chin Indian Community</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Ak-Chin Indian Community's climate risk profile and geographic context.</w:t>
      </w:r>
    </w:p>
    <w:p>
      <w:r>
        <w:br w:type="page"/>
      </w:r>
    </w:p>
    <w:p>
      <w:pPr>
        <w:pStyle w:val="Heading2"/>
      </w:pPr>
      <w:r>
        <w:t>Executive Summary</w:t>
      </w:r>
    </w:p>
    <w:p>
      <w:pPr>
        <w:pStyle w:val="HSTitle"/>
      </w:pPr>
      <w:r>
        <w:t>Ak-Chin Indian Community -- AZ</w:t>
      </w:r>
    </w:p>
    <w:p>
      <w:pPr>
        <w:pStyle w:val="HSBody"/>
      </w:pPr>
      <w:r>
        <w:t>This strategy document outlines Ak-Chin Indian Community's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$12,966,057</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Ak-Chin Indian Community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Ak-Chin Indian Community's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Ak-Chin Indian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Ak-Chin Indian Community's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Ak-Chin Indian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Ak-Chin Indian Community's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Ak-Chin Indian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Ak-Chin Indian Community's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Ak-Chin Indian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Ak-Chin Indian Community's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$532,554</w:t>
            </w:r>
          </w:p>
        </w:tc>
        <w:tc>
          <w:tcPr>
            <w:tcW w:type="dxa" w:w="2340"/>
            <w:shd w:fill="F2F2F2" w:val="clear"/>
          </w:tcPr>
          <w:p>
            <w:r>
              <w:t>2023-10-01 - 2027-09-30</w:t>
            </w:r>
          </w:p>
        </w:tc>
      </w:tr>
    </w:tbl>
    <w:p>
      <w:pPr>
        <w:pStyle w:val="HSBody"/>
      </w:pPr>
      <w:r>
        <w:rPr>
          <w:b/>
        </w:rPr>
        <w:t>Total: $532,554</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Ak-Chin Indian Community generated an estimated $958,597-$1,278,130 in regional economic activity (BEA RIMS II methodology, output multiplier range 1.8-2.4x), supporting approximately 4-8 jobs (BLS employment requirements methodology).</w:t>
      </w:r>
    </w:p>
    <w:p>
      <w:pPr>
        <w:pStyle w:val="HSBody"/>
      </w:pPr>
      <w:r>
        <w:t>Hazard Alignment: Ak-Chin Indian Community's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EPA GAP funding to Ak-Chin Indian Community generated an estimated $958,597-$1,278,130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Ak-Chin Indian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Ak-Chin Indian Community's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$7,943,645</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$328,620</w:t>
            </w:r>
          </w:p>
        </w:tc>
        <w:tc>
          <w:tcPr>
            <w:tcW w:type="dxa" w:w="2340"/>
            <w:shd w:fill="FFFFFF" w:val="clear"/>
          </w:tcPr>
          <w:p>
            <w:r>
              <w:t>2021-04-22 - 2026-09-30</w:t>
            </w:r>
          </w:p>
        </w:tc>
      </w:tr>
    </w:tbl>
    <w:p>
      <w:pPr>
        <w:pStyle w:val="HSBody"/>
      </w:pPr>
      <w:r>
        <w:rPr>
          <w:b/>
        </w:rPr>
        <w:t>Total: $8,272,265</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Ak-Chin Indian Community generated an estimated $14,890,077-$19,853,436 in regional economic activity (BEA RIMS II methodology, output multiplier range 1.8-2.4x), supporting approximately 66-124 jobs (BLS employment requirements methodology).</w:t>
      </w:r>
    </w:p>
    <w:p>
      <w:pPr>
        <w:pStyle w:val="HSBody"/>
      </w:pPr>
      <w:r>
        <w:t>Hazard Alignment: Ak-Chin Indian Community's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HUD IHBG funding to Ak-Chin Indian Community generated an estimated $14,890,077-$19,853,436 in regional economic activity (BEA RIMS II methodology, output multiplier range 1.8-2.4x), supporting approximately 66-124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Ak-Chin Indian Community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Ak-Chin Indian Community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Ak-Chin Indian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Ak-Chin Indian Community's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Ak-Chin Indian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Ak-Chin Indian Community's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Ak-Chin Indian Community's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Ak-Chin Indian Community's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Ak-Chin Indian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Ak-Chin Indian Community's advocacy engagements during the current congressional session.</w:t>
      </w:r>
    </w:p>
    <w:p>
      <w:pPr>
        <w:pStyle w:val="HSSection"/>
      </w:pPr>
      <w:r>
        <w:t>Core Message</w:t>
      </w:r>
    </w:p>
    <w:p>
      <w:pPr>
        <w:pStyle w:val="HSBody"/>
      </w:pPr>
      <w:r>
        <w:t>Ak-Chin Indian Community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Ak-Chin Indian Community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Ak-Chin Indian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