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Big Sandy Rancheria of Western Mono Indians of California</w:t>
      </w:r>
    </w:p>
    <w:p>
      <w:pPr>
        <w:pStyle w:val="HSBody"/>
      </w:pPr>
      <w:r>
        <w:t>Prepared for the offices of: 2 Senators, 1 Representative</w:t>
      </w:r>
    </w:p>
    <w:p>
      <w:pPr>
        <w:pStyle w:val="HSBody"/>
      </w:pPr>
      <w:r>
        <w:t>State(s): CA</w:t>
      </w:r>
    </w:p>
    <w:p>
      <w:pPr>
        <w:pStyle w:val="HSBody"/>
      </w:pPr>
      <w:r>
        <w:t>Ecoregion(s): southwest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FEMA HMGP</w:t>
      </w:r>
      <w:r>
        <w:t xml:space="preserve">  </w:t>
      </w:r>
      <w:r>
        <w:rPr>
          <w:color w:val="4B5563"/>
          <w:sz w:val="16"/>
        </w:rPr>
        <w:t>[At Risk]</w:t>
      </w:r>
    </w:p>
    <w:p>
      <w:pPr>
        <w:pStyle w:val="HSBody"/>
      </w:pPr>
      <w:r>
        <w:t>9. FEMA FMA</w:t>
      </w:r>
      <w:r>
        <w:t xml:space="preserve">  </w:t>
      </w:r>
      <w:r>
        <w:rPr>
          <w:color w:val="4B5563"/>
          <w:sz w:val="16"/>
        </w:rPr>
        <w:t>[At Risk]</w:t>
      </w:r>
    </w:p>
    <w:p>
      <w:pPr>
        <w:pStyle w:val="HSBody"/>
      </w:pPr>
      <w:r>
        <w:t>10. EPA STAG</w:t>
      </w:r>
      <w:r>
        <w:t xml:space="preserve">  </w:t>
      </w:r>
      <w:r>
        <w:rPr>
          <w:color w:val="4B5563"/>
          <w:sz w:val="16"/>
        </w:rPr>
        <w:t>[Stable]</w:t>
      </w:r>
    </w:p>
    <w:p>
      <w:pPr>
        <w:pStyle w:val="HSBody"/>
      </w:pPr>
      <w:r>
        <w:t>11. DOE Indian Energy</w:t>
      </w:r>
      <w:r>
        <w:t xml:space="preserve">  </w:t>
      </w:r>
      <w:r>
        <w:rPr>
          <w:color w:val="4B5563"/>
          <w:sz w:val="16"/>
        </w:rPr>
        <w:t>[Uncertain]</w:t>
      </w:r>
    </w:p>
    <w:p>
      <w:pPr>
        <w:pStyle w:val="HSBody"/>
      </w:pPr>
      <w:r>
        <w:t>12. HUD IHBG</w:t>
      </w:r>
      <w:r>
        <w:t xml:space="preserve">  </w:t>
      </w:r>
      <w:r>
        <w:rPr>
          <w:color w:val="4B5563"/>
          <w:sz w:val="16"/>
        </w:rPr>
        <w:t>[Stable]</w:t>
      </w:r>
    </w:p>
    <w:p>
      <w:pPr>
        <w:pStyle w:val="HSBody"/>
      </w:pPr>
      <w:r>
        <w:t>This packet contains 12 program analyses tailored to Big Sandy Rancheria of Western Mono Indians of California's climate risk profile and geographic context.</w:t>
      </w:r>
    </w:p>
    <w:p>
      <w:r>
        <w:br w:type="page"/>
      </w:r>
    </w:p>
    <w:p>
      <w:pPr>
        <w:pStyle w:val="Heading2"/>
      </w:pPr>
      <w:r>
        <w:t>Executive Summary</w:t>
      </w:r>
    </w:p>
    <w:p>
      <w:pPr>
        <w:pStyle w:val="HSTitle"/>
      </w:pPr>
      <w:r>
        <w:t>Big Sandy Rancheria of Western Mono Indians of California -- CA</w:t>
      </w:r>
    </w:p>
    <w:p>
      <w:pPr>
        <w:pStyle w:val="HSBody"/>
      </w:pPr>
      <w:r>
        <w:t>This strategy document outlines Big Sandy Rancheria of Western Mono Indians of California's federal climate resilience funding landscape, identifies strategic leverage points across key programs, and recommends sequenced advocacy actions for the current congressional session.</w:t>
      </w:r>
    </w:p>
    <w:p>
      <w:pPr>
        <w:pStyle w:val="HSBody"/>
      </w:pPr>
      <w:r>
        <w:t>Top Climate Hazards: Wildfire, Earthquake, Landslide</w:t>
      </w:r>
    </w:p>
    <w:p>
      <w:pPr>
        <w:pStyle w:val="HSBody"/>
      </w:pPr>
      <w:r>
        <w:t>Total Federal Climate Resilience Funding: $5,964,925</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Adam B. Schiff (D-CA)</w:t>
            </w:r>
          </w:p>
        </w:tc>
        <w:tc>
          <w:tcPr>
            <w:tcW w:type="dxa" w:w="1872"/>
            <w:shd w:fill="F2F2F2" w:val="clear"/>
          </w:tcPr>
          <w:p>
            <w:r>
              <w:t>Senator</w:t>
            </w:r>
          </w:p>
        </w:tc>
        <w:tc>
          <w:tcPr>
            <w:tcW w:type="dxa" w:w="1872"/>
            <w:shd w:fill="F2F2F2" w:val="clear"/>
          </w:tcPr>
          <w:p>
            <w:r>
              <w:t>CA</w:t>
            </w:r>
          </w:p>
        </w:tc>
        <w:tc>
          <w:tcPr>
            <w:tcW w:type="dxa" w:w="1872"/>
            <w:shd w:fill="F2F2F2" w:val="clear"/>
          </w:tcPr>
          <w:p>
            <w:r>
              <w:t>At-Large</w:t>
            </w:r>
          </w:p>
        </w:tc>
        <w:tc>
          <w:tcPr>
            <w:tcW w:type="dxa" w:w="1872"/>
            <w:shd w:fill="F2F2F2" w:val="clear"/>
          </w:tcPr>
          <w:p>
            <w:r/>
          </w:p>
        </w:tc>
      </w:tr>
      <w:tr>
        <w:tc>
          <w:tcPr>
            <w:tcW w:type="dxa" w:w="1872"/>
            <w:shd w:fill="FFFFFF" w:val="clear"/>
          </w:tcPr>
          <w:p>
            <w:r>
              <w:t>Sen. Alex Padilla (D-CA)</w:t>
            </w:r>
          </w:p>
        </w:tc>
        <w:tc>
          <w:tcPr>
            <w:tcW w:type="dxa" w:w="1872"/>
            <w:shd w:fill="FFFFFF" w:val="clear"/>
          </w:tcPr>
          <w:p>
            <w:r>
              <w:t>Senator</w:t>
            </w:r>
          </w:p>
        </w:tc>
        <w:tc>
          <w:tcPr>
            <w:tcW w:type="dxa" w:w="1872"/>
            <w:shd w:fill="FFFFFF" w:val="clear"/>
          </w:tcPr>
          <w:p>
            <w:r>
              <w:t>CA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Tom McClintock (R-CA-05)</w:t>
            </w:r>
          </w:p>
        </w:tc>
        <w:tc>
          <w:tcPr>
            <w:tcW w:type="dxa" w:w="1872"/>
            <w:shd w:fill="F2F2F2" w:val="clear"/>
          </w:tcPr>
          <w:p>
            <w:r>
              <w:t>Representative</w:t>
            </w:r>
          </w:p>
        </w:tc>
        <w:tc>
          <w:tcPr>
            <w:tcW w:type="dxa" w:w="1872"/>
            <w:shd w:fill="F2F2F2" w:val="clear"/>
          </w:tcPr>
          <w:p>
            <w:r>
              <w:t>CA</w:t>
            </w:r>
          </w:p>
        </w:tc>
        <w:tc>
          <w:tcPr>
            <w:tcW w:type="dxa" w:w="1872"/>
            <w:shd w:fill="F2F2F2" w:val="clear"/>
          </w:tcPr>
          <w:p>
            <w:r>
              <w:t>5</w:t>
            </w:r>
          </w:p>
        </w:tc>
        <w:tc>
          <w:tcPr>
            <w:tcW w:type="dxa" w:w="1872"/>
            <w:shd w:fill="F2F2F2" w:val="clear"/>
          </w:tcPr>
          <w:p>
            <w:r>
              <w:t>House Committee on Natural Resources</w:t>
            </w:r>
          </w:p>
        </w:tc>
      </w:tr>
    </w:tbl>
    <w:p>
      <w:pPr>
        <w:pStyle w:val="HSBody"/>
      </w:pPr>
      <w:r>
        <w:t>2 members with relevant committee assignments</w:t>
      </w:r>
    </w:p>
    <w:p>
      <w:pPr>
        <w:pStyle w:val="HSSection"/>
      </w:pPr>
      <w:r>
        <w:t>Strategic Notes</w:t>
      </w:r>
    </w:p>
    <w:p>
      <w:pPr>
        <w:pStyle w:val="HSBody"/>
      </w:pPr>
      <w:r>
        <w:t>Sen. Alex Padilla (D-CA): Sits on Senate Committee on Energy and Natural Resources; Energy. Direct influence on relevant programs.</w:t>
      </w:r>
    </w:p>
    <w:p>
      <w:pPr>
        <w:pStyle w:val="HSBody"/>
      </w:pPr>
      <w:r>
        <w:t>Rep. Tom McClintock (R-CA-05):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EPA STAG.</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Big Sandy Rancheria of Western Mono Indians of California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Big Sandy Rancheria of Western Mono Indians of California's wildfire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$5,964,925</w:t>
            </w:r>
          </w:p>
        </w:tc>
        <w:tc>
          <w:tcPr>
            <w:tcW w:type="dxa" w:w="2340"/>
            <w:shd w:fill="F2F2F2" w:val="clear"/>
          </w:tcPr>
          <w:p>
            <w:r>
              <w:t>2012-01-06 - 2034-09-30</w:t>
            </w:r>
          </w:p>
        </w:tc>
      </w:tr>
    </w:tbl>
    <w:p>
      <w:pPr>
        <w:pStyle w:val="HSBody"/>
      </w:pPr>
      <w:r>
        <w:rPr>
          <w:b/>
        </w:rPr>
        <w:t>Total: $5,964,925</w:t>
      </w:r>
    </w:p>
    <w:p>
      <w:pPr>
        <w:pStyle w:val="HSSection"/>
      </w:pPr>
      <w:r>
        <w:t>Local Hazard Relevance</w:t>
      </w:r>
    </w:p>
    <w:p>
      <w:pPr>
        <w:pStyle w:val="HSBody"/>
      </w:pPr>
      <w:r>
        <w:t>Wildfire -- Risk Score: 94.2 -- (Very High)</w:t>
      </w:r>
    </w:p>
    <w:p>
      <w:pPr>
        <w:pStyle w:val="HSBody"/>
      </w:pPr>
      <w:r>
        <w:t>Earthquake -- Risk Score: 93.1 -- (Very High)</w:t>
      </w:r>
    </w:p>
    <w:p>
      <w:pPr>
        <w:pStyle w:val="HSBody"/>
      </w:pPr>
      <w:r>
        <w:t>Landslide -- Risk Score: 89.0 -- (Very High)</w:t>
      </w:r>
    </w:p>
    <w:p>
      <w:pPr>
        <w:pStyle w:val="HSSection"/>
      </w:pPr>
      <w:r>
        <w:t>District Economic Impact</w:t>
      </w:r>
    </w:p>
    <w:p>
      <w:pPr>
        <w:pStyle w:val="HSBody"/>
      </w:pPr>
      <w:r>
        <w:t>HUD IHBG funding to Big Sandy Rancheria of Western Mono Indians of California generated an estimated $10,736,865-$14,315,820 in regional economic activity (BEA RIMS II methodology, output multiplier range 1.8-2.4x), supporting approximately 48-89 jobs (BLS employment requirements methodology).</w:t>
      </w:r>
    </w:p>
    <w:p>
      <w:pPr>
        <w:pStyle w:val="HSBody"/>
      </w:pPr>
      <w:r>
        <w:t>Hazard Alignment: Big Sandy Rancheria of Western Mono Indians of California's wildfire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Big Sandy Rancheria of Western Mono Indians of California's Wildfire, Earthquake and Landslide risk makes this program critical for community resilience</w:t>
      </w:r>
    </w:p>
    <w:p>
      <w:pPr>
        <w:pStyle w:val="HSCalloutDetail"/>
        <w:shd w:fill="EEF2FF" w:val="clear"/>
      </w:pPr>
      <w:r>
        <w:t>IMPACT: HUD IHBG funding to Big Sandy Rancheria of Western Mono Indians of California generated an estimated $10,736,865-$14,315,820 in regional economic activity (BEA RIMS II methodology, output multiplier range 1.8-2.4x), supporting approximately 48-89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Adam B. Schiff (D-CA)</w:t>
      </w:r>
    </w:p>
    <w:p>
      <w:pPr>
        <w:pStyle w:val="HSBody"/>
      </w:pPr>
      <w:r>
        <w:t>Sen. Alex Padilla (D-CA)</w:t>
      </w:r>
    </w:p>
    <w:p>
      <w:pPr>
        <w:pStyle w:val="HSBody"/>
      </w:pPr>
      <w:r>
        <w:rPr>
          <w:b/>
        </w:rPr>
        <w:t>Sen. Alex Padilla (D-CA) sits on Senate Committee on Energy and Natural Resources -- direct influence on this program</w:t>
      </w:r>
    </w:p>
    <w:p>
      <w:pPr>
        <w:pStyle w:val="HSBody"/>
      </w:pPr>
      <w:r>
        <w:rPr>
          <w:b/>
        </w:rPr>
        <w:t>Sen. Alex Padilla (D-CA) sits on Energy -- direct influence on this program</w:t>
      </w:r>
    </w:p>
    <w:p>
      <w:pPr>
        <w:pStyle w:val="HSBody"/>
      </w:pPr>
      <w:r>
        <w:t>Rep. Tom McClintock (R-CA-05)</w:t>
      </w:r>
    </w:p>
    <w:p>
      <w:pPr>
        <w:pStyle w:val="HSBody"/>
      </w:pPr>
      <w:r>
        <w:rPr>
          <w:b/>
        </w:rPr>
        <w:t>Rep. Tom McClintock (R-CA-05)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Very High (Score: 88.7)</w:t>
      </w:r>
    </w:p>
    <w:p>
      <w:pPr>
        <w:pStyle w:val="HSBody"/>
      </w:pPr>
      <w:r>
        <w:t>Social Vulnerability: Relatively Moderate (Score: 47.6)</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94.2</w:t>
            </w:r>
          </w:p>
        </w:tc>
        <w:tc>
          <w:tcPr>
            <w:tcW w:type="dxa" w:w="2340"/>
            <w:shd w:fill="F2F2F2" w:val="clear"/>
          </w:tcPr>
          <w:p>
            <w:r>
              <w:t>Very High</w:t>
            </w:r>
          </w:p>
        </w:tc>
        <w:tc>
          <w:tcPr>
            <w:tcW w:type="dxa" w:w="2340"/>
            <w:shd w:fill="F2F2F2" w:val="clear"/>
          </w:tcPr>
          <w:p>
            <w:r>
              <w:t>$30,816,644</w:t>
            </w:r>
          </w:p>
        </w:tc>
      </w:tr>
      <w:tr>
        <w:tc>
          <w:tcPr>
            <w:tcW w:type="dxa" w:w="2340"/>
            <w:shd w:fill="FFFFFF" w:val="clear"/>
          </w:tcPr>
          <w:p>
            <w:r>
              <w:t>Earthquake</w:t>
            </w:r>
          </w:p>
        </w:tc>
        <w:tc>
          <w:tcPr>
            <w:tcW w:type="dxa" w:w="2340"/>
            <w:shd w:fill="FFFFFF" w:val="clear"/>
          </w:tcPr>
          <w:p>
            <w:r>
              <w:t>93.1</w:t>
            </w:r>
          </w:p>
        </w:tc>
        <w:tc>
          <w:tcPr>
            <w:tcW w:type="dxa" w:w="2340"/>
            <w:shd w:fill="FFFFFF" w:val="clear"/>
          </w:tcPr>
          <w:p>
            <w:r>
              <w:t>Very High</w:t>
            </w:r>
          </w:p>
        </w:tc>
        <w:tc>
          <w:tcPr>
            <w:tcW w:type="dxa" w:w="2340"/>
            <w:shd w:fill="FFFFFF" w:val="clear"/>
          </w:tcPr>
          <w:p>
            <w:r>
              <w:t>$256,090,458</w:t>
            </w:r>
          </w:p>
        </w:tc>
      </w:tr>
      <w:tr>
        <w:tc>
          <w:tcPr>
            <w:tcW w:type="dxa" w:w="2340"/>
            <w:shd w:fill="F2F2F2" w:val="clear"/>
          </w:tcPr>
          <w:p>
            <w:r>
              <w:t>Landslide</w:t>
            </w:r>
          </w:p>
        </w:tc>
        <w:tc>
          <w:tcPr>
            <w:tcW w:type="dxa" w:w="2340"/>
            <w:shd w:fill="F2F2F2" w:val="clear"/>
          </w:tcPr>
          <w:p>
            <w:r>
              <w:t>89.0</w:t>
            </w:r>
          </w:p>
        </w:tc>
        <w:tc>
          <w:tcPr>
            <w:tcW w:type="dxa" w:w="2340"/>
            <w:shd w:fill="F2F2F2" w:val="clear"/>
          </w:tcPr>
          <w:p>
            <w:r>
              <w:t>Very High</w:t>
            </w:r>
          </w:p>
        </w:tc>
        <w:tc>
          <w:tcPr>
            <w:tcW w:type="dxa" w:w="2340"/>
            <w:shd w:fill="F2F2F2" w:val="clear"/>
          </w:tcPr>
          <w:p>
            <w:r>
              <w:t>$2,242,311</w:t>
            </w:r>
          </w:p>
        </w:tc>
      </w:tr>
      <w:tr>
        <w:tc>
          <w:tcPr>
            <w:tcW w:type="dxa" w:w="2340"/>
            <w:shd w:fill="FFFFFF" w:val="clear"/>
          </w:tcPr>
          <w:p>
            <w:r>
              <w:t>Inland Flooding</w:t>
            </w:r>
          </w:p>
        </w:tc>
        <w:tc>
          <w:tcPr>
            <w:tcW w:type="dxa" w:w="2340"/>
            <w:shd w:fill="FFFFFF" w:val="clear"/>
          </w:tcPr>
          <w:p>
            <w:r>
              <w:t>85.8</w:t>
            </w:r>
          </w:p>
        </w:tc>
        <w:tc>
          <w:tcPr>
            <w:tcW w:type="dxa" w:w="2340"/>
            <w:shd w:fill="FFFFFF" w:val="clear"/>
          </w:tcPr>
          <w:p>
            <w:r>
              <w:t>Very High</w:t>
            </w:r>
          </w:p>
        </w:tc>
        <w:tc>
          <w:tcPr>
            <w:tcW w:type="dxa" w:w="2340"/>
            <w:shd w:fill="FFFFFF" w:val="clear"/>
          </w:tcPr>
          <w:p>
            <w:r>
              <w:t>$201,074,795</w:t>
            </w:r>
          </w:p>
        </w:tc>
      </w:tr>
      <w:tr>
        <w:tc>
          <w:tcPr>
            <w:tcW w:type="dxa" w:w="2340"/>
            <w:shd w:fill="F2F2F2" w:val="clear"/>
          </w:tcPr>
          <w:p>
            <w:r>
              <w:t>Drought</w:t>
            </w:r>
          </w:p>
        </w:tc>
        <w:tc>
          <w:tcPr>
            <w:tcW w:type="dxa" w:w="2340"/>
            <w:shd w:fill="F2F2F2" w:val="clear"/>
          </w:tcPr>
          <w:p>
            <w:r>
              <w:t>79.5</w:t>
            </w:r>
          </w:p>
        </w:tc>
        <w:tc>
          <w:tcPr>
            <w:tcW w:type="dxa" w:w="2340"/>
            <w:shd w:fill="F2F2F2" w:val="clear"/>
          </w:tcPr>
          <w:p>
            <w:r>
              <w:t>Relatively High</w:t>
            </w:r>
          </w:p>
        </w:tc>
        <w:tc>
          <w:tcPr>
            <w:tcW w:type="dxa" w:w="2340"/>
            <w:shd w:fill="F2F2F2" w:val="clear"/>
          </w:tcPr>
          <w:p>
            <w:r>
              <w:t>$17,269,090</w:t>
            </w:r>
          </w:p>
        </w:tc>
      </w:tr>
    </w:tbl>
    <w:p>
      <w:pPr>
        <w:pStyle w:val="HSSection"/>
      </w:pPr>
      <w:r>
        <w:t>Hazard-to-Program Alignment</w:t>
      </w:r>
    </w:p>
    <w:p>
      <w:pPr>
        <w:pStyle w:val="HSBody"/>
      </w:pPr>
      <w:r>
        <w:t>Big Sandy Rancheria of Western Mono Indians of California's top hazard exposures (Wildfire, Earthquake, Landslide)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Big Sandy Rancheria of Western Mono Indians of California.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Wildfire risk profile</w:t>
      </w:r>
    </w:p>
    <w:p>
      <w:r>
        <w:br w:type="page"/>
      </w:r>
    </w:p>
    <w:p>
      <w:pPr>
        <w:pStyle w:val="Heading2"/>
      </w:pPr>
      <w:r>
        <w:t>Messaging Framework</w:t>
      </w:r>
    </w:p>
    <w:p>
      <w:pPr>
        <w:pStyle w:val="HSBody"/>
      </w:pPr>
      <w:r>
        <w:t>Audience-calibrated talking points for Big Sandy Rancheria of Western Mono Indians of California's advocacy engagements during the current congressional session.</w:t>
      </w:r>
    </w:p>
    <w:p>
      <w:pPr>
        <w:pStyle w:val="HSSection"/>
      </w:pPr>
      <w:r>
        <w:t>Core Message</w:t>
      </w:r>
    </w:p>
    <w:p>
      <w:pPr>
        <w:pStyle w:val="HSBody"/>
      </w:pPr>
      <w:r>
        <w:t>Big Sandy Rancheria of Western Mono Indians of California faces significant wildfire risk. Congress has funded programs that address this risk, but administrative delivery gaps and structural barriers prevent these resources from reaching Tribal communities in CA.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Big Sandy Rancheria of Western Mono Indians of California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Big Sandy Rancheria of Western Mono Indians of California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