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The Choctaw Nation of Oklahoma</w:t>
      </w:r>
    </w:p>
    <w:p>
      <w:pPr>
        <w:pStyle w:val="HSBody"/>
      </w:pPr>
      <w:r>
        <w:t>Prepared for the offices of: 2 Senators, 2 Representatives</w:t>
      </w:r>
    </w:p>
    <w:p>
      <w:pPr>
        <w:pStyle w:val="HSBody"/>
      </w:pPr>
      <w:r>
        <w:t>State(s): OK</w:t>
      </w:r>
    </w:p>
    <w:p>
      <w:pPr>
        <w:pStyle w:val="HSBody"/>
      </w:pPr>
      <w:r>
        <w:t>Ecoregion(s): great_plains_south</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The Choctaw Nation of Oklahoma's climate risk profile and geographic context.</w:t>
      </w:r>
    </w:p>
    <w:p>
      <w:r>
        <w:br w:type="page"/>
      </w:r>
    </w:p>
    <w:p>
      <w:pPr>
        <w:pStyle w:val="Heading2"/>
      </w:pPr>
      <w:r>
        <w:t>Executive Summary</w:t>
      </w:r>
    </w:p>
    <w:p>
      <w:pPr>
        <w:pStyle w:val="HSTitle"/>
      </w:pPr>
      <w:r>
        <w:t>The Choctaw Nation of Oklahoma -- OK</w:t>
      </w:r>
    </w:p>
    <w:p>
      <w:pPr>
        <w:pStyle w:val="HSBody"/>
      </w:pPr>
      <w:r>
        <w:t>This strategy document outlines The Choctaw Nation of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$271,942,422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Josh Brecheen (R-OK-02)</w:t>
            </w:r>
          </w:p>
        </w:tc>
        <w:tc>
          <w:tcPr>
            <w:tcW w:type="dxa" w:w="1872"/>
            <w:shd w:fill="F2F2F2" w:val="clear"/>
          </w:tcPr>
          <w:p>
            <w:r>
              <w:t>Representative</w:t>
            </w:r>
          </w:p>
        </w:tc>
        <w:tc>
          <w:tcPr>
            <w:tcW w:type="dxa" w:w="1872"/>
            <w:shd w:fill="F2F2F2" w:val="clear"/>
          </w:tcPr>
          <w:p>
            <w:r>
              <w:t>OK</w:t>
            </w:r>
          </w:p>
        </w:tc>
        <w:tc>
          <w:tcPr>
            <w:tcW w:type="dxa" w:w="1872"/>
            <w:shd w:fill="F2F2F2" w:val="clear"/>
          </w:tcPr>
          <w:p>
            <w:r>
              <w:t>2</w:t>
            </w:r>
          </w:p>
        </w:tc>
        <w:tc>
          <w:tcPr>
            <w:tcW w:type="dxa" w:w="1872"/>
            <w:shd w:fill="F2F2F2" w:val="clear"/>
          </w:tcPr>
          <w:p>
            <w:r/>
          </w:p>
        </w:tc>
      </w:tr>
      <w:tr>
        <w:tc>
          <w:tcPr>
            <w:tcW w:type="dxa" w:w="1872"/>
            <w:shd w:fill="FFFFFF" w:val="clear"/>
          </w:tcPr>
          <w:p>
            <w:r>
              <w:t>Rep. Tom Cole (R-OK-04)</w:t>
            </w:r>
          </w:p>
        </w:tc>
        <w:tc>
          <w:tcPr>
            <w:tcW w:type="dxa" w:w="1872"/>
            <w:shd w:fill="FFFFFF" w:val="clear"/>
          </w:tcPr>
          <w:p>
            <w:r>
              <w:t>Representative</w:t>
            </w:r>
          </w:p>
        </w:tc>
        <w:tc>
          <w:tcPr>
            <w:tcW w:type="dxa" w:w="1872"/>
            <w:shd w:fill="FFFFFF" w:val="clear"/>
          </w:tcPr>
          <w:p>
            <w:r>
              <w:t>OK</w:t>
            </w:r>
          </w:p>
        </w:tc>
        <w:tc>
          <w:tcPr>
            <w:tcW w:type="dxa" w:w="1872"/>
            <w:shd w:fill="FFFFFF" w:val="clear"/>
          </w:tcPr>
          <w:p>
            <w:r>
              <w:t>4</w:t>
            </w:r>
          </w:p>
        </w:tc>
        <w:tc>
          <w:tcPr>
            <w:tcW w:type="dxa" w:w="1872"/>
            <w:shd w:fill="FFFFFF" w:val="clear"/>
          </w:tcPr>
          <w:p>
            <w:r>
              <w:t>House Committee on Appropriations</w:t>
            </w:r>
          </w:p>
        </w:tc>
      </w:tr>
    </w:tbl>
    <w:p>
      <w:pPr>
        <w:pStyle w:val="HSBody"/>
      </w:pPr>
      <w:r>
        <w:t>2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pPr>
        <w:pStyle w:val="HSBody"/>
      </w:pPr>
      <w:r>
        <w:t>Rep. Tom Cole (R-OK-04): Sits on House Committee on Appropriations.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$139,500</w:t>
            </w:r>
          </w:p>
        </w:tc>
        <w:tc>
          <w:tcPr>
            <w:tcW w:type="dxa" w:w="2340"/>
            <w:shd w:fill="F2F2F2" w:val="clear"/>
          </w:tcPr>
          <w:p>
            <w:r>
              <w:t>2020-09-11 - 2023-09-10</w:t>
            </w:r>
          </w:p>
        </w:tc>
      </w:tr>
      <w:tr>
        <w:tc>
          <w:tcPr>
            <w:tcW w:type="dxa" w:w="2340"/>
            <w:shd w:fill="FFFFFF" w:val="clear"/>
          </w:tcPr>
          <w:p>
            <w:r>
              <w:t>fema_bric</w:t>
            </w:r>
          </w:p>
        </w:tc>
        <w:tc>
          <w:tcPr>
            <w:tcW w:type="dxa" w:w="2340"/>
            <w:shd w:fill="FFFFFF" w:val="clear"/>
          </w:tcPr>
          <w:p>
            <w:r>
              <w:t>97.047</w:t>
            </w:r>
          </w:p>
        </w:tc>
        <w:tc>
          <w:tcPr>
            <w:tcW w:type="dxa" w:w="2340"/>
            <w:shd w:fill="FFFFFF" w:val="clear"/>
          </w:tcPr>
          <w:p>
            <w:r>
              <w:t>$1,545,102</w:t>
            </w:r>
          </w:p>
        </w:tc>
        <w:tc>
          <w:tcPr>
            <w:tcW w:type="dxa" w:w="2340"/>
            <w:shd w:fill="FFFFFF" w:val="clear"/>
          </w:tcPr>
          <w:p>
            <w:r>
              <w:t>2024-09-06 - 2027-09-05</w:t>
            </w:r>
          </w:p>
        </w:tc>
      </w:tr>
      <w:tr>
        <w:tc>
          <w:tcPr>
            <w:tcW w:type="dxa" w:w="2340"/>
            <w:shd w:fill="F2F2F2" w:val="clear"/>
          </w:tcPr>
          <w:p>
            <w:r>
              <w:t>fema_bric</w:t>
            </w:r>
          </w:p>
        </w:tc>
        <w:tc>
          <w:tcPr>
            <w:tcW w:type="dxa" w:w="2340"/>
            <w:shd w:fill="F2F2F2" w:val="clear"/>
          </w:tcPr>
          <w:p>
            <w:r>
              <w:t>97.047</w:t>
            </w:r>
          </w:p>
        </w:tc>
        <w:tc>
          <w:tcPr>
            <w:tcW w:type="dxa" w:w="2340"/>
            <w:shd w:fill="F2F2F2" w:val="clear"/>
          </w:tcPr>
          <w:p>
            <w:r>
              <w:t>$571,875</w:t>
            </w:r>
          </w:p>
        </w:tc>
        <w:tc>
          <w:tcPr>
            <w:tcW w:type="dxa" w:w="2340"/>
            <w:shd w:fill="F2F2F2" w:val="clear"/>
          </w:tcPr>
          <w:p>
            <w:r>
              <w:t>2024-06-07 - 2027-06-06</w:t>
            </w:r>
          </w:p>
        </w:tc>
      </w:tr>
    </w:tbl>
    <w:p>
      <w:pPr>
        <w:pStyle w:val="HSBody"/>
      </w:pPr>
      <w:r>
        <w:rPr>
          <w:b/>
        </w:rPr>
        <w:t>Total: $2,256,477</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FEMA BRIC funding to The Choctaw Nation of Oklahoma generated an estimated $4,061,659-$5,415,545 in regional economic activity (BEA RIMS II methodology, output multiplier range 1.8-2.4x), supporting approximately 18-34 jobs (BLS employment requirements methodology).</w:t>
      </w:r>
    </w:p>
    <w:p>
      <w:pPr>
        <w:pStyle w:val="HSBody"/>
      </w:pPr>
      <w:r>
        <w:t>Hazard Alignment: The Choctaw Nation of Oklahoma's ice storm risk profile reinforces the economic case for continued federal investment in FEMA BRIC.</w:t>
      </w:r>
    </w:p>
    <w:p>
      <w:pPr>
        <w:pStyle w:val="HSBody"/>
      </w:pPr>
      <w:r>
        <w:t>Per-District Impact Allocation:</w:t>
      </w:r>
    </w:p>
    <w:p>
      <w:pPr>
        <w:pStyle w:val="HSBody"/>
      </w:pPr>
      <w:r>
        <w:t xml:space="preserve">  OK-02 (100% overlap): $4,045,412 - $5,393,883</w:t>
      </w:r>
    </w:p>
    <w:p>
      <w:pPr>
        <w:pStyle w:val="HSBody"/>
      </w:pPr>
      <w:r>
        <w:t xml:space="preserve">  OK-04 (0% overlap): $16,247 - $21,662</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FEMA BRIC funding to The Choctaw Nation of Oklahoma generated an estimated $4,061,659-$5,415,545 in regional economic activity (BEA RIMS II methodology, output multiplier range 1.8-2.4x), supporting approximately 18-34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$109,444</w:t>
            </w:r>
          </w:p>
        </w:tc>
        <w:tc>
          <w:tcPr>
            <w:tcW w:type="dxa" w:w="2340"/>
            <w:shd w:fill="F2F2F2" w:val="clear"/>
          </w:tcPr>
          <w:p>
            <w:r>
              <w:t>2020-06-01 - 2023-05-31</w:t>
            </w:r>
          </w:p>
        </w:tc>
      </w:tr>
    </w:tbl>
    <w:p>
      <w:pPr>
        <w:pStyle w:val="HSBody"/>
      </w:pPr>
      <w:r>
        <w:rPr>
          <w:b/>
        </w:rPr>
        <w:t>Total: $109,444</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BIA Tribal Climate Resilience funding to The Choctaw Nation of Oklahoma generated an estimated $196,999-$262,666 in regional economic activity (BEA RIMS II methodology, output multiplier range 1.8-2.4x), supporting approximately 1-2 jobs (BLS employment requirements methodology).</w:t>
      </w:r>
    </w:p>
    <w:p>
      <w:pPr>
        <w:pStyle w:val="HSBody"/>
      </w:pPr>
      <w:r>
        <w:t>Hazard Alignment: The Choctaw Nation of Oklahoma's ice storm risk profile reinforces the economic case for continued federal investment in BIA Tribal Climate Resilience.</w:t>
      </w:r>
    </w:p>
    <w:p>
      <w:pPr>
        <w:pStyle w:val="HSBody"/>
      </w:pPr>
      <w:r>
        <w:t>Per-District Impact Allocation:</w:t>
      </w:r>
    </w:p>
    <w:p>
      <w:pPr>
        <w:pStyle w:val="HSBody"/>
      </w:pPr>
      <w:r>
        <w:t xml:space="preserve">  OK-02 (100% overlap): $196,211 - $261,615</w:t>
      </w:r>
    </w:p>
    <w:p>
      <w:pPr>
        <w:pStyle w:val="HSBody"/>
      </w:pPr>
      <w:r>
        <w:t xml:space="preserve">  OK-04 (0% overlap): $788 - $1,051</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BIA Tribal Climate Resilience funding to The Choctaw Nation of Oklahoma generated an estimated $196,999-$262,666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The Choctaw Nation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The Choctaw Nation of Oklahoma's ice storm risk profile reinforces the economic case for continued federal investment in IRS Elective Pay.</w:t>
      </w:r>
    </w:p>
    <w:p>
      <w:pPr>
        <w:pStyle w:val="HSBody"/>
      </w:pPr>
      <w:r>
        <w:t>Per-District Impact Allocation:</w:t>
      </w:r>
    </w:p>
    <w:p>
      <w:pPr>
        <w:pStyle w:val="HSBody"/>
      </w:pPr>
      <w:r>
        <w:t xml:space="preserve">  OK-02 (100% overlap): $358,560 - $478,080</w:t>
      </w:r>
    </w:p>
    <w:p>
      <w:pPr>
        <w:pStyle w:val="HSBody"/>
      </w:pPr>
      <w:r>
        <w:t xml:space="preserve">  OK-04 (0% overlap): $1,440 - $1,920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$139,500</w:t>
            </w:r>
          </w:p>
        </w:tc>
        <w:tc>
          <w:tcPr>
            <w:tcW w:type="dxa" w:w="2340"/>
            <w:shd w:fill="F2F2F2" w:val="clear"/>
          </w:tcPr>
          <w:p>
            <w:r>
              <w:t>2020-09-11 - 2023-09-10</w:t>
            </w:r>
          </w:p>
        </w:tc>
      </w:tr>
      <w:tr>
        <w:tc>
          <w:tcPr>
            <w:tcW w:type="dxa" w:w="2340"/>
            <w:shd w:fill="FFFFFF" w:val="clear"/>
          </w:tcPr>
          <w:p>
            <w:r>
              <w:t>fema_bric</w:t>
            </w:r>
          </w:p>
        </w:tc>
        <w:tc>
          <w:tcPr>
            <w:tcW w:type="dxa" w:w="2340"/>
            <w:shd w:fill="FFFFFF" w:val="clear"/>
          </w:tcPr>
          <w:p>
            <w:r>
              <w:t>97.047</w:t>
            </w:r>
          </w:p>
        </w:tc>
        <w:tc>
          <w:tcPr>
            <w:tcW w:type="dxa" w:w="2340"/>
            <w:shd w:fill="FFFFFF" w:val="clear"/>
          </w:tcPr>
          <w:p>
            <w:r>
              <w:t>$1,545,102</w:t>
            </w:r>
          </w:p>
        </w:tc>
        <w:tc>
          <w:tcPr>
            <w:tcW w:type="dxa" w:w="2340"/>
            <w:shd w:fill="FFFFFF" w:val="clear"/>
          </w:tcPr>
          <w:p>
            <w:r>
              <w:t>2024-09-06 - 2027-09-05</w:t>
            </w:r>
          </w:p>
        </w:tc>
      </w:tr>
      <w:tr>
        <w:tc>
          <w:tcPr>
            <w:tcW w:type="dxa" w:w="2340"/>
            <w:shd w:fill="F2F2F2" w:val="clear"/>
          </w:tcPr>
          <w:p>
            <w:r>
              <w:t>fema_bric</w:t>
            </w:r>
          </w:p>
        </w:tc>
        <w:tc>
          <w:tcPr>
            <w:tcW w:type="dxa" w:w="2340"/>
            <w:shd w:fill="F2F2F2" w:val="clear"/>
          </w:tcPr>
          <w:p>
            <w:r>
              <w:t>97.047</w:t>
            </w:r>
          </w:p>
        </w:tc>
        <w:tc>
          <w:tcPr>
            <w:tcW w:type="dxa" w:w="2340"/>
            <w:shd w:fill="F2F2F2" w:val="clear"/>
          </w:tcPr>
          <w:p>
            <w:r>
              <w:t>$571,875</w:t>
            </w:r>
          </w:p>
        </w:tc>
        <w:tc>
          <w:tcPr>
            <w:tcW w:type="dxa" w:w="2340"/>
            <w:shd w:fill="F2F2F2" w:val="clear"/>
          </w:tcPr>
          <w:p>
            <w:r>
              <w:t>2024-06-07 - 2027-06-06</w:t>
            </w:r>
          </w:p>
        </w:tc>
      </w:tr>
    </w:tbl>
    <w:p>
      <w:pPr>
        <w:pStyle w:val="HSBody"/>
      </w:pPr>
      <w:r>
        <w:rPr>
          <w:b/>
        </w:rPr>
        <w:t>Total: $2,256,477</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The Choctaw Nation of Oklahoma's ice storm risk profile reinforces the economic case for continued federal investment in FEMA Tribal Mitigation Plans.</w:t>
      </w:r>
    </w:p>
    <w:p>
      <w:pPr>
        <w:pStyle w:val="HSBody"/>
      </w:pPr>
      <w:r>
        <w:t>Per-District Impact Allocation:</w:t>
      </w:r>
    </w:p>
    <w:p>
      <w:pPr>
        <w:pStyle w:val="HSBody"/>
      </w:pPr>
      <w:r>
        <w:t xml:space="preserve">  OK-02 (100% overlap): $537,840 - $717,120</w:t>
      </w:r>
    </w:p>
    <w:p>
      <w:pPr>
        <w:pStyle w:val="HSBody"/>
      </w:pPr>
      <w:r>
        <w:t xml:space="preserve">  OK-04 (0% overlap): $2,160 - $2,880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$206,067,172</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$62,308,579</w:t>
            </w:r>
          </w:p>
        </w:tc>
        <w:tc>
          <w:tcPr>
            <w:tcW w:type="dxa" w:w="2340"/>
            <w:shd w:fill="FFFFFF" w:val="clear"/>
          </w:tcPr>
          <w:p>
            <w:r>
              <w:t>2012-01-06 - 2034-09-30</w:t>
            </w:r>
          </w:p>
        </w:tc>
      </w:tr>
    </w:tbl>
    <w:p>
      <w:pPr>
        <w:pStyle w:val="HSBody"/>
      </w:pPr>
      <w:r>
        <w:rPr>
          <w:b/>
        </w:rPr>
        <w:t>Total: $268,375,751</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The Choctaw Nation of Oklahoma generated an estimated $483,076,352-$644,101,802 in regional economic activity (BEA RIMS II methodology, output multiplier range 1.8-2.4x), supporting approximately 2147-4026 jobs (BLS employment requirements methodology).</w:t>
      </w:r>
    </w:p>
    <w:p>
      <w:pPr>
        <w:pStyle w:val="HSBody"/>
      </w:pPr>
      <w:r>
        <w:t>Hazard Alignment: The Choctaw Nation of Oklahoma's ice storm risk profile reinforces the economic case for continued federal investment in HUD IHBG.</w:t>
      </w:r>
    </w:p>
    <w:p>
      <w:pPr>
        <w:pStyle w:val="HSBody"/>
      </w:pPr>
      <w:r>
        <w:t>Per-District Impact Allocation:</w:t>
      </w:r>
    </w:p>
    <w:p>
      <w:pPr>
        <w:pStyle w:val="HSBody"/>
      </w:pPr>
      <w:r>
        <w:t xml:space="preserve">  OK-02 (100% overlap): $481,144,046 - $641,525,395</w:t>
      </w:r>
    </w:p>
    <w:p>
      <w:pPr>
        <w:pStyle w:val="HSBody"/>
      </w:pPr>
      <w:r>
        <w:t xml:space="preserve">  OK-04 (0% overlap): $1,932,305 - $2,576,407</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HUD IHBG funding to The Choctaw Nation of Oklahoma generated an estimated $483,076,352-$644,101,802 in regional economic activity (BEA RIMS II methodology, output multiplier range 1.8-2.4x), supporting approximately 2147-4026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The Choctaw Nation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The Choctaw Nation of Oklahoma's ice storm risk profile reinforces the economic case for continued federal investment in DOE Indian Energy.</w:t>
      </w:r>
    </w:p>
    <w:p>
      <w:pPr>
        <w:pStyle w:val="HSBody"/>
      </w:pPr>
      <w:r>
        <w:t>Per-District Impact Allocation:</w:t>
      </w:r>
    </w:p>
    <w:p>
      <w:pPr>
        <w:pStyle w:val="HSBody"/>
      </w:pPr>
      <w:r>
        <w:t xml:space="preserve">  OK-02 (100% overlap): $358,560 - $478,080</w:t>
      </w:r>
    </w:p>
    <w:p>
      <w:pPr>
        <w:pStyle w:val="HSBody"/>
      </w:pPr>
      <w:r>
        <w:t xml:space="preserve">  OK-04 (0% overlap): $1,440 - $1,920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$230,000</w:t>
            </w:r>
          </w:p>
        </w:tc>
        <w:tc>
          <w:tcPr>
            <w:tcW w:type="dxa" w:w="2340"/>
            <w:shd w:fill="F2F2F2" w:val="clear"/>
          </w:tcPr>
          <w:p>
            <w:r>
              <w:t>2020-10-01 - 2023-09-30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$590,000</w:t>
            </w:r>
          </w:p>
        </w:tc>
        <w:tc>
          <w:tcPr>
            <w:tcW w:type="dxa" w:w="2340"/>
            <w:shd w:fill="FFFFFF" w:val="clear"/>
          </w:tcPr>
          <w:p>
            <w:r>
              <w:t>2023-10-01 - 2027-09-30</w:t>
            </w:r>
          </w:p>
        </w:tc>
      </w:tr>
    </w:tbl>
    <w:p>
      <w:pPr>
        <w:pStyle w:val="HSBody"/>
      </w:pPr>
      <w:r>
        <w:rPr>
          <w:b/>
        </w:rPr>
        <w:t>Total: $820,000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The Choctaw Nation of Oklahoma generated an estimated $1,476,000-$1,968,000 in regional economic activity (BEA RIMS II methodology, output multiplier range 1.8-2.4x), supporting approximately 7-12 jobs (BLS employment requirements methodology).</w:t>
      </w:r>
    </w:p>
    <w:p>
      <w:pPr>
        <w:pStyle w:val="HSBody"/>
      </w:pPr>
      <w:r>
        <w:t>Hazard Alignment: The Choctaw Nation of Oklahoma's ice storm risk profile reinforces the economic case for continued federal investment in EPA GAP.</w:t>
      </w:r>
    </w:p>
    <w:p>
      <w:pPr>
        <w:pStyle w:val="HSBody"/>
      </w:pPr>
      <w:r>
        <w:t>Per-District Impact Allocation:</w:t>
      </w:r>
    </w:p>
    <w:p>
      <w:pPr>
        <w:pStyle w:val="HSBody"/>
      </w:pPr>
      <w:r>
        <w:t xml:space="preserve">  OK-02 (100% overlap): $1,470,096 - $1,960,128</w:t>
      </w:r>
    </w:p>
    <w:p>
      <w:pPr>
        <w:pStyle w:val="HSBody"/>
      </w:pPr>
      <w:r>
        <w:t xml:space="preserve">  OK-04 (0% overlap): $5,904 - $7,872</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EPA GAP funding to The Choctaw Nation of Oklahoma generated an estimated $1,476,000-$1,968,000 in regional economic activity (BEA RIMS II methodology, output multiplier range 1.8-2.4x), supporting approximately 7-12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The Choctaw Nation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The Choctaw Nation of Oklahoma's ice storm risk profile reinforces the economic case for continued federal investment in USDA Wildfire Defense Grants.</w:t>
      </w:r>
    </w:p>
    <w:p>
      <w:pPr>
        <w:pStyle w:val="HSBody"/>
      </w:pPr>
      <w:r>
        <w:t>Per-District Impact Allocation:</w:t>
      </w:r>
    </w:p>
    <w:p>
      <w:pPr>
        <w:pStyle w:val="HSBody"/>
      </w:pPr>
      <w:r>
        <w:t xml:space="preserve">  OK-02 (100% overlap): $627,480 - $836,640</w:t>
      </w:r>
    </w:p>
    <w:p>
      <w:pPr>
        <w:pStyle w:val="HSBody"/>
      </w:pPr>
      <w:r>
        <w:t xml:space="preserve">  OK-04 (0% overlap): $2,520 - $3,360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The Choctaw Nation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The Choctaw Nation of Oklahoma's ice storm risk profile reinforces the economic case for continued federal investment in USBR WaterSMART.</w:t>
      </w:r>
    </w:p>
    <w:p>
      <w:pPr>
        <w:pStyle w:val="HSBody"/>
      </w:pPr>
      <w:r>
        <w:t>Per-District Impact Allocation:</w:t>
      </w:r>
    </w:p>
    <w:p>
      <w:pPr>
        <w:pStyle w:val="HSBody"/>
      </w:pPr>
      <w:r>
        <w:t xml:space="preserve">  OK-02 (100% overlap): $448,200 - $597,600</w:t>
      </w:r>
    </w:p>
    <w:p>
      <w:pPr>
        <w:pStyle w:val="HSBody"/>
      </w:pPr>
      <w:r>
        <w:t xml:space="preserve">  OK-04 (0% overlap): $1,800 - $2,400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The Choctaw Nation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The Choctaw Nation of Oklahoma's ice storm risk profile reinforces the economic case for continued federal investment in USBR TAP.</w:t>
      </w:r>
    </w:p>
    <w:p>
      <w:pPr>
        <w:pStyle w:val="HSBody"/>
      </w:pPr>
      <w:r>
        <w:t>Per-District Impact Allocation:</w:t>
      </w:r>
    </w:p>
    <w:p>
      <w:pPr>
        <w:pStyle w:val="HSBody"/>
      </w:pPr>
      <w:r>
        <w:t xml:space="preserve">  OK-02 (100% overlap): $215,136 - $286,848</w:t>
      </w:r>
    </w:p>
    <w:p>
      <w:pPr>
        <w:pStyle w:val="HSBody"/>
      </w:pPr>
      <w:r>
        <w:t xml:space="preserve">  OK-04 (0% overlap): $864 - $1,152</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The Choctaw Nation of Oklahoma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The Choctaw Nation of Oklahoma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The Choctaw Nation of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The Choctaw Nation of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The Choctaw Nation of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Messaging Framework</w:t>
      </w:r>
    </w:p>
    <w:p>
      <w:pPr>
        <w:pStyle w:val="HSBody"/>
      </w:pPr>
      <w:r>
        <w:t>Audience-calibrated talking points for The Choctaw Nation of Oklahoma's advocacy engagements during the current congressional session.</w:t>
      </w:r>
    </w:p>
    <w:p>
      <w:pPr>
        <w:pStyle w:val="HSSection"/>
      </w:pPr>
      <w:r>
        <w:t>Core Message</w:t>
      </w:r>
    </w:p>
    <w:p>
      <w:pPr>
        <w:pStyle w:val="HSBody"/>
      </w:pPr>
      <w:r>
        <w:t>The Choctaw Nation of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The Choctaw Nation of Oklahoma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The Choctaw Nation of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