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Coquille Indian Tribe</w:t>
      </w:r>
    </w:p>
    <w:p>
      <w:pPr>
        <w:pStyle w:val="HSBody"/>
      </w:pPr>
      <w:r>
        <w:t>Prepared for the offices of: 2 Senators, 1 Representative</w:t>
      </w:r>
    </w:p>
    <w:p>
      <w:pPr>
        <w:pStyle w:val="HSBody"/>
      </w:pPr>
      <w:r>
        <w:t>State(s): OR</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Coquille Indian Tribe's climate risk profile and geographic context.</w:t>
      </w:r>
    </w:p>
    <w:p>
      <w:r>
        <w:br w:type="page"/>
      </w:r>
    </w:p>
    <w:p>
      <w:pPr>
        <w:pStyle w:val="Heading2"/>
      </w:pPr>
      <w:r>
        <w:t>Executive Summary</w:t>
      </w:r>
    </w:p>
    <w:p>
      <w:pPr>
        <w:pStyle w:val="HSTitle"/>
      </w:pPr>
      <w:r>
        <w:t>Coquille Indian Tribe -- OR</w:t>
      </w:r>
    </w:p>
    <w:p>
      <w:pPr>
        <w:pStyle w:val="HSBody"/>
      </w:pPr>
      <w:r>
        <w:t>This strategy document outlines Coquille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$22,147,649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Val T. Hoyle (D-OR-04)</w:t>
            </w:r>
          </w:p>
        </w:tc>
        <w:tc>
          <w:tcPr>
            <w:tcW w:type="dxa" w:w="1872"/>
            <w:shd w:fill="F2F2F2" w:val="clear"/>
          </w:tcPr>
          <w:p>
            <w:r>
              <w:t>Representative</w:t>
            </w:r>
          </w:p>
        </w:tc>
        <w:tc>
          <w:tcPr>
            <w:tcW w:type="dxa" w:w="1872"/>
            <w:shd w:fill="F2F2F2" w:val="clear"/>
          </w:tcPr>
          <w:p>
            <w:r>
              <w:t>OR</w:t>
            </w:r>
          </w:p>
        </w:tc>
        <w:tc>
          <w:tcPr>
            <w:tcW w:type="dxa" w:w="1872"/>
            <w:shd w:fill="F2F2F2" w:val="clear"/>
          </w:tcPr>
          <w:p>
            <w:r>
              <w:t>4</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Rep. Val T. Hoyle (D-OR-04):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Coquille Indian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Coquille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$49,984</w:t>
            </w:r>
          </w:p>
        </w:tc>
        <w:tc>
          <w:tcPr>
            <w:tcW w:type="dxa" w:w="2340"/>
            <w:shd w:fill="F2F2F2" w:val="clear"/>
          </w:tcPr>
          <w:p>
            <w:r>
              <w:t>2019-08-01 - 2023-09-30</w:t>
            </w:r>
          </w:p>
        </w:tc>
      </w:tr>
    </w:tbl>
    <w:p>
      <w:pPr>
        <w:pStyle w:val="HSBody"/>
      </w:pPr>
      <w:r>
        <w:rPr>
          <w:b/>
        </w:rPr>
        <w:t>Total: $49,984</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Coquille Indian Tribe generated an estimated $89,971-$119,962 in regional economic activity (BEA RIMS II methodology, output multiplier range 1.8-2.4x), supporting approximately 0-1 jobs (BLS employment requirements methodology).</w:t>
      </w:r>
    </w:p>
    <w:p>
      <w:pPr>
        <w:pStyle w:val="HSBody"/>
      </w:pPr>
      <w:r>
        <w:t>Hazard Alignment: Coquille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BIA Tribal Climate Resilience funding to Coquille Indian Tribe generated an estimated $89,971-$119,962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Coquille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Coquille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Coquille Indian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Coquille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Coquille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Coquille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Coquille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Coquille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Coquille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Coquille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Coquille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Coquille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Coquille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Coquille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Coquille Indian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Coquille Indian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Coquille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Coquille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Coquille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Coquille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Coquille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Coquille Indian Tribe's advocacy engagements during the current congressional session.</w:t>
      </w:r>
    </w:p>
    <w:p>
      <w:pPr>
        <w:pStyle w:val="HSSection"/>
      </w:pPr>
      <w:r>
        <w:t>Core Message</w:t>
      </w:r>
    </w:p>
    <w:p>
      <w:pPr>
        <w:pStyle w:val="HSBody"/>
      </w:pPr>
      <w:r>
        <w:t>Coquille Indian Tribe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Coquille Indian Tribe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Coquille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