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Modoc Nation</w:t>
      </w:r>
    </w:p>
    <w:p>
      <w:pPr>
        <w:pStyle w:val="HSBody"/>
      </w:pPr>
      <w:r>
        <w:t>Prepared for the offices of: 2 Senators, 1 Representative</w:t>
      </w:r>
    </w:p>
    <w:p>
      <w:pPr>
        <w:pStyle w:val="HSBody"/>
      </w:pPr>
      <w:r>
        <w:t>State(s): OK</w:t>
      </w:r>
    </w:p>
    <w:p>
      <w:pPr>
        <w:pStyle w:val="HSBody"/>
      </w:pPr>
      <w:r>
        <w:t>Ecoregion(s): great_plains_south</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Modoc Nation's climate risk profile and geographic context.</w:t>
      </w:r>
    </w:p>
    <w:p>
      <w:r>
        <w:br w:type="page"/>
      </w:r>
    </w:p>
    <w:p>
      <w:pPr>
        <w:pStyle w:val="Heading2"/>
      </w:pPr>
      <w:r>
        <w:t>Executive Summary</w:t>
      </w:r>
    </w:p>
    <w:p>
      <w:pPr>
        <w:pStyle w:val="HSTitle"/>
      </w:pPr>
      <w:r>
        <w:t>Modoc Nation -- OK</w:t>
      </w:r>
    </w:p>
    <w:p>
      <w:pPr>
        <w:pStyle w:val="HSBody"/>
      </w:pPr>
      <w:r>
        <w:t>This strategy document outlines Modoc Nation's federal climate resilience funding landscape, identifies strategic leverage points across key programs, and recommends sequenced advocacy actions for the current congressional session.</w:t>
      </w:r>
    </w:p>
    <w:p>
      <w:pPr>
        <w:pStyle w:val="HSBody"/>
      </w:pPr>
      <w:r>
        <w:t>Top Climate Hazards: Ice Storm, Drought, Wildfire</w:t>
      </w:r>
    </w:p>
    <w:p>
      <w:pPr>
        <w:pStyle w:val="HSBody"/>
      </w:pPr>
      <w:r>
        <w:t>Total Federal Climate Resilience Funding: $5,166,584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Josh Brecheen (R-OK-02)</w:t>
            </w:r>
          </w:p>
        </w:tc>
        <w:tc>
          <w:tcPr>
            <w:tcW w:type="dxa" w:w="1872"/>
            <w:shd w:fill="F2F2F2" w:val="clear"/>
          </w:tcPr>
          <w:p>
            <w:r>
              <w:t>Representative</w:t>
            </w:r>
          </w:p>
        </w:tc>
        <w:tc>
          <w:tcPr>
            <w:tcW w:type="dxa" w:w="1872"/>
            <w:shd w:fill="F2F2F2" w:val="clear"/>
          </w:tcPr>
          <w:p>
            <w:r>
              <w:t>OK</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Modoc Nation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Modoc Nation's ice storm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Modoc Nation's Ice Storm, Drought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$65,000</w:t>
            </w:r>
          </w:p>
        </w:tc>
        <w:tc>
          <w:tcPr>
            <w:tcW w:type="dxa" w:w="2340"/>
            <w:shd w:fill="F2F2F2" w:val="clear"/>
          </w:tcPr>
          <w:p>
            <w:r>
              <w:t>2020-06-01 - 2022-05-31</w:t>
            </w:r>
          </w:p>
        </w:tc>
      </w:tr>
    </w:tbl>
    <w:p>
      <w:pPr>
        <w:pStyle w:val="HSBody"/>
      </w:pPr>
      <w:r>
        <w:rPr>
          <w:b/>
        </w:rPr>
        <w:t>Total: $65,000</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BIA Tribal Climate Resilience funding to Modoc Nation generated an estimated $117,000-$156,000 in regional economic activity (BEA RIMS II methodology, output multiplier range 1.8-2.4x), supporting approximately 1-1 jobs (BLS employment requirements methodology).</w:t>
      </w:r>
    </w:p>
    <w:p>
      <w:pPr>
        <w:pStyle w:val="HSBody"/>
      </w:pPr>
      <w:r>
        <w:t>Hazard Alignment: Modoc Nation's ice storm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Modoc Nation's Ice Storm, Drought and Wildfire risk makes this program critical for community resilience</w:t>
      </w:r>
    </w:p>
    <w:p>
      <w:pPr>
        <w:pStyle w:val="HSCalloutDetail"/>
        <w:shd w:fill="EEF2FF" w:val="clear"/>
      </w:pPr>
      <w:r>
        <w:t>IMPACT: BIA Tribal Climate Resilience funding to Modoc Nation generated an estimated $117,000-$156,000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Modoc Nation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Modoc Nation's ice storm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Modoc Nation's Ice Storm,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Modoc Nation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Modoc Nation's ice storm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Modoc Nation's Ice Storm,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$2,356,221</w:t>
            </w:r>
          </w:p>
        </w:tc>
        <w:tc>
          <w:tcPr>
            <w:tcW w:type="dxa" w:w="2340"/>
            <w:shd w:fill="F2F2F2" w:val="clear"/>
          </w:tcPr>
          <w:p>
            <w:r>
              <w:t>2011-10-18 - 2034-09-30</w:t>
            </w:r>
          </w:p>
        </w:tc>
      </w:tr>
    </w:tbl>
    <w:p>
      <w:pPr>
        <w:pStyle w:val="HSBody"/>
      </w:pPr>
      <w:r>
        <w:rPr>
          <w:b/>
        </w:rPr>
        <w:t>Total: $2,356,221</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HUD IHBG funding to Modoc Nation generated an estimated $4,241,198-$5,654,930 in regional economic activity (BEA RIMS II methodology, output multiplier range 1.8-2.4x), supporting approximately 19-35 jobs (BLS employment requirements methodology).</w:t>
      </w:r>
    </w:p>
    <w:p>
      <w:pPr>
        <w:pStyle w:val="HSBody"/>
      </w:pPr>
      <w:r>
        <w:t>Hazard Alignment: Modoc Nation's ice storm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Modoc Nation's Ice Storm, Drought and Wildfire risk makes this program critical for community resilience</w:t>
      </w:r>
    </w:p>
    <w:p>
      <w:pPr>
        <w:pStyle w:val="HSCalloutDetail"/>
        <w:shd w:fill="EEF2FF" w:val="clear"/>
      </w:pPr>
      <w:r>
        <w:t>IMPACT: HUD IHBG funding to Modoc Nation generated an estimated $4,241,198-$5,654,930 in regional economic activity (BEA RIMS II methodology, output multiplier range 1.8-2.4x), supporting approximately 19-35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Modoc Nation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Modoc Nation's ice storm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Modoc Nation's Ice Storm,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$545,901</w:t>
            </w:r>
          </w:p>
        </w:tc>
        <w:tc>
          <w:tcPr>
            <w:tcW w:type="dxa" w:w="2340"/>
            <w:shd w:fill="F2F2F2" w:val="clear"/>
          </w:tcPr>
          <w:p>
            <w:r>
              <w:t>2022-10-01 - 2026-09-30</w:t>
            </w:r>
          </w:p>
        </w:tc>
      </w:tr>
    </w:tbl>
    <w:p>
      <w:pPr>
        <w:pStyle w:val="HSBody"/>
      </w:pPr>
      <w:r>
        <w:rPr>
          <w:b/>
        </w:rPr>
        <w:t>Total: $545,901</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EPA GAP funding to Modoc Nation generated an estimated $982,622-$1,310,162 in regional economic activity (BEA RIMS II methodology, output multiplier range 1.8-2.4x), supporting approximately 4-8 jobs (BLS employment requirements methodology).</w:t>
      </w:r>
    </w:p>
    <w:p>
      <w:pPr>
        <w:pStyle w:val="HSBody"/>
      </w:pPr>
      <w:r>
        <w:t>Hazard Alignment: Modoc Nation's ice storm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Modoc Nation's Ice Storm, Drought and Wildfire risk makes this program critical for community resilience</w:t>
      </w:r>
    </w:p>
    <w:p>
      <w:pPr>
        <w:pStyle w:val="HSCalloutDetail"/>
        <w:shd w:fill="EEF2FF" w:val="clear"/>
      </w:pPr>
      <w:r>
        <w:t>IMPACT: EPA GAP funding to Modoc Nation generated an estimated $982,622-$1,310,162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Modoc Nation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Modoc Nation's ice storm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Modoc Nation's Ice Storm, Drought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Modoc Nation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Modoc Nation's ice storm risk profile reinforces the economic case for continued federal investment in USBR WaterSMART.</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Modoc Nation's Ice Storm, Drought and Wildfire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Modoc Nation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Modoc Nation's ice storm risk profile reinforces the economic case for continued federal investment in USBR TAP.</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Modoc Nation's Ice Storm,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Modoc Nation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Modoc Nation's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Modoc Nation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Modoc Nation's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55.5)</w:t>
      </w:r>
    </w:p>
    <w:p>
      <w:pPr>
        <w:pStyle w:val="HSBody"/>
      </w:pPr>
      <w:r>
        <w:t>Social Vulnerability: Relatively High (Score: 67.4)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Ice Storm</w:t>
            </w:r>
          </w:p>
        </w:tc>
        <w:tc>
          <w:tcPr>
            <w:tcW w:type="dxa" w:w="2340"/>
            <w:shd w:fill="F2F2F2" w:val="clear"/>
          </w:tcPr>
          <w:p>
            <w:r>
              <w:t>88.6</w:t>
            </w:r>
          </w:p>
        </w:tc>
        <w:tc>
          <w:tcPr>
            <w:tcW w:type="dxa" w:w="2340"/>
            <w:shd w:fill="F2F2F2" w:val="clear"/>
          </w:tcPr>
          <w:p>
            <w:r>
              <w:t>Very High</w:t>
            </w:r>
          </w:p>
        </w:tc>
        <w:tc>
          <w:tcPr>
            <w:tcW w:type="dxa" w:w="2340"/>
            <w:shd w:fill="F2F2F2" w:val="clear"/>
          </w:tcPr>
          <w:p>
            <w:r>
              <w:t>$1,321,414</w:t>
            </w:r>
          </w:p>
        </w:tc>
      </w:tr>
      <w:tr>
        <w:tc>
          <w:tcPr>
            <w:tcW w:type="dxa" w:w="2340"/>
            <w:shd w:fill="FFFFFF" w:val="clear"/>
          </w:tcPr>
          <w:p>
            <w:r>
              <w:t>Drought</w:t>
            </w:r>
          </w:p>
        </w:tc>
        <w:tc>
          <w:tcPr>
            <w:tcW w:type="dxa" w:w="2340"/>
            <w:shd w:fill="FFFFFF" w:val="clear"/>
          </w:tcPr>
          <w:p>
            <w:r>
              <w:t>81.3</w:t>
            </w:r>
          </w:p>
        </w:tc>
        <w:tc>
          <w:tcPr>
            <w:tcW w:type="dxa" w:w="2340"/>
            <w:shd w:fill="FFFFFF" w:val="clear"/>
          </w:tcPr>
          <w:p>
            <w:r>
              <w:t>Very High</w:t>
            </w:r>
          </w:p>
        </w:tc>
        <w:tc>
          <w:tcPr>
            <w:tcW w:type="dxa" w:w="2340"/>
            <w:shd w:fill="FFFFFF" w:val="clear"/>
          </w:tcPr>
          <w:p>
            <w:r>
              <w:t>$1,251,722</w:t>
            </w:r>
          </w:p>
        </w:tc>
      </w:tr>
      <w:tr>
        <w:tc>
          <w:tcPr>
            <w:tcW w:type="dxa" w:w="2340"/>
            <w:shd w:fill="F2F2F2" w:val="clear"/>
          </w:tcPr>
          <w:p>
            <w:r>
              <w:t>Wildfire</w:t>
            </w:r>
          </w:p>
        </w:tc>
        <w:tc>
          <w:tcPr>
            <w:tcW w:type="dxa" w:w="2340"/>
            <w:shd w:fill="F2F2F2" w:val="clear"/>
          </w:tcPr>
          <w:p>
            <w:r>
              <w:t>81.1</w:t>
            </w:r>
          </w:p>
        </w:tc>
        <w:tc>
          <w:tcPr>
            <w:tcW w:type="dxa" w:w="2340"/>
            <w:shd w:fill="F2F2F2" w:val="clear"/>
          </w:tcPr>
          <w:p>
            <w:r>
              <w:t>Very High</w:t>
            </w:r>
          </w:p>
        </w:tc>
        <w:tc>
          <w:tcPr>
            <w:tcW w:type="dxa" w:w="2340"/>
            <w:shd w:fill="F2F2F2" w:val="clear"/>
          </w:tcPr>
          <w:p>
            <w:r>
              <w:t>$782,727</w:t>
            </w:r>
          </w:p>
        </w:tc>
      </w:tr>
      <w:tr>
        <w:tc>
          <w:tcPr>
            <w:tcW w:type="dxa" w:w="2340"/>
            <w:shd w:fill="FFFFFF" w:val="clear"/>
          </w:tcPr>
          <w:p>
            <w:r>
              <w:t>Hail</w:t>
            </w:r>
          </w:p>
        </w:tc>
        <w:tc>
          <w:tcPr>
            <w:tcW w:type="dxa" w:w="2340"/>
            <w:shd w:fill="FFFFFF" w:val="clear"/>
          </w:tcPr>
          <w:p>
            <w:r>
              <w:t>74.7</w:t>
            </w:r>
          </w:p>
        </w:tc>
        <w:tc>
          <w:tcPr>
            <w:tcW w:type="dxa" w:w="2340"/>
            <w:shd w:fill="FFFFFF" w:val="clear"/>
          </w:tcPr>
          <w:p>
            <w:r>
              <w:t>Relatively High</w:t>
            </w:r>
          </w:p>
        </w:tc>
        <w:tc>
          <w:tcPr>
            <w:tcW w:type="dxa" w:w="2340"/>
            <w:shd w:fill="FFFFFF" w:val="clear"/>
          </w:tcPr>
          <w:p>
            <w:r>
              <w:t>$1,551,979</w:t>
            </w:r>
          </w:p>
        </w:tc>
      </w:tr>
      <w:tr>
        <w:tc>
          <w:tcPr>
            <w:tcW w:type="dxa" w:w="2340"/>
            <w:shd w:fill="F2F2F2" w:val="clear"/>
          </w:tcPr>
          <w:p>
            <w:r>
              <w:t>Tornado</w:t>
            </w:r>
          </w:p>
        </w:tc>
        <w:tc>
          <w:tcPr>
            <w:tcW w:type="dxa" w:w="2340"/>
            <w:shd w:fill="F2F2F2" w:val="clear"/>
          </w:tcPr>
          <w:p>
            <w:r>
              <w:t>70.5</w:t>
            </w:r>
          </w:p>
        </w:tc>
        <w:tc>
          <w:tcPr>
            <w:tcW w:type="dxa" w:w="2340"/>
            <w:shd w:fill="F2F2F2" w:val="clear"/>
          </w:tcPr>
          <w:p>
            <w:r>
              <w:t>Relatively High</w:t>
            </w:r>
          </w:p>
        </w:tc>
        <w:tc>
          <w:tcPr>
            <w:tcW w:type="dxa" w:w="2340"/>
            <w:shd w:fill="F2F2F2" w:val="clear"/>
          </w:tcPr>
          <w:p>
            <w:r>
              <w:t>$4,806,396</w:t>
            </w:r>
          </w:p>
        </w:tc>
      </w:tr>
    </w:tbl>
    <w:p>
      <w:pPr>
        <w:pStyle w:val="HSSection"/>
      </w:pPr>
      <w:r>
        <w:t>Hazard-to-Program Alignment</w:t>
      </w:r>
    </w:p>
    <w:p>
      <w:pPr>
        <w:pStyle w:val="HSBody"/>
      </w:pPr>
      <w:r>
        <w:t>Modoc Nation's top hazard exposures (Ice Storm, Drought,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Modoc Nation.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Ice Storm risk profile</w:t>
      </w:r>
    </w:p>
    <w:p>
      <w:r>
        <w:br w:type="page"/>
      </w:r>
    </w:p>
    <w:p>
      <w:pPr>
        <w:pStyle w:val="Heading2"/>
      </w:pPr>
      <w:r>
        <w:t>Messaging Framework</w:t>
      </w:r>
    </w:p>
    <w:p>
      <w:pPr>
        <w:pStyle w:val="HSBody"/>
      </w:pPr>
      <w:r>
        <w:t>Audience-calibrated talking points for Modoc Nation's advocacy engagements during the current congressional session.</w:t>
      </w:r>
    </w:p>
    <w:p>
      <w:pPr>
        <w:pStyle w:val="HSSection"/>
      </w:pPr>
      <w:r>
        <w:t>Core Message</w:t>
      </w:r>
    </w:p>
    <w:p>
      <w:pPr>
        <w:pStyle w:val="HSBody"/>
      </w:pPr>
      <w:r>
        <w:t>Modoc Nation faces significant ice storm risk. Congress has funded programs that address this risk, but administrative delivery gaps and structural barriers prevent these resources from reaching Tribal communities in OK.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Modoc Nation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DOT PROTECT</w:t>
      </w:r>
      <w:r>
        <w:t xml:space="preserve">  [Secure]</w:t>
      </w:r>
    </w:p>
    <w:p>
      <w:pPr>
        <w:pStyle w:val="HSBody"/>
      </w:pPr>
      <w:r>
        <w:t>DOT program for resilience improvements to surface transportation. Statutory Tribal set-aside provides durable protection.</w:t>
      </w:r>
    </w:p>
    <w:p>
      <w:pPr>
        <w:pStyle w:val="HSSmall"/>
      </w:pPr>
      <w:r>
        <w:t>Access: Tribal Set Aside | Funding: Discretionary</w:t>
      </w:r>
    </w:p>
    <w:p>
      <w:pPr>
        <w:pStyle w:val="HSSmall"/>
      </w:pPr>
      <w:r>
        <w:t>Learn more: Contact your program specialist or visit DOT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Modoc Nation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