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Northern Cheyenne Tribe of the Northern Cheyenne Indian Reservation, Montana</w:t>
      </w:r>
    </w:p>
    <w:p>
      <w:pPr>
        <w:pStyle w:val="HSBody"/>
      </w:pPr>
      <w:r>
        <w:t>Prepared for the offices of: 4 Senators, 2 Representatives</w:t>
      </w:r>
    </w:p>
    <w:p>
      <w:pPr>
        <w:pStyle w:val="HSBody"/>
      </w:pPr>
      <w:r>
        <w:t>State(s): MT</w:t>
      </w:r>
    </w:p>
    <w:p>
      <w:pPr>
        <w:pStyle w:val="HSBody"/>
      </w:pPr>
      <w:r>
        <w:t>Ecoregion(s): mountain_west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HUD IHBG</w:t>
      </w:r>
      <w:r>
        <w:t xml:space="preserve">  </w:t>
      </w:r>
      <w:r>
        <w:rPr>
          <w:color w:val="4B5563"/>
          <w:sz w:val="16"/>
        </w:rPr>
        <w:t>[Stable]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Northern Cheyenne Tribe of the Northern Cheyenne Indian Reservation, Montana's climate risk profile and geographic context.</w:t>
      </w:r>
    </w:p>
    <w:p>
      <w:r>
        <w:br w:type="page"/>
      </w:r>
    </w:p>
    <w:p>
      <w:pPr>
        <w:pStyle w:val="Heading2"/>
      </w:pPr>
      <w:r>
        <w:t>Executive Summary</w:t>
      </w:r>
    </w:p>
    <w:p>
      <w:pPr>
        <w:pStyle w:val="HSTitle"/>
      </w:pPr>
      <w:r>
        <w:t>Northern Cheyenne Tribe of the Northern Cheyenne Indian Reservation, Montana -- MT</w:t>
      </w:r>
    </w:p>
    <w:p>
      <w:pPr>
        <w:pStyle w:val="HSBody"/>
      </w:pPr>
      <w:r>
        <w:t>This strategy document outlines Northern Cheyenne Tribe of the Northern Cheyenne Indian Reservation, Montana's federal climate resilience funding landscape, identifies strategic leverage points across key programs, and recommends sequenced advocacy actions for the current congressional session.</w:t>
      </w:r>
    </w:p>
    <w:p>
      <w:pPr>
        <w:pStyle w:val="HSBody"/>
      </w:pPr>
      <w:r>
        <w:t>Top Climate Hazards: Wildfire, Cold Wave, Winter Weather</w:t>
      </w:r>
    </w:p>
    <w:p>
      <w:pPr>
        <w:pStyle w:val="HSBody"/>
      </w:pPr>
      <w:r>
        <w:t>Total Federal Climate Resilience Funding: $67,621,435</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Tim Sheehy (R-MT)</w:t>
            </w:r>
          </w:p>
        </w:tc>
        <w:tc>
          <w:tcPr>
            <w:tcW w:type="dxa" w:w="1872"/>
            <w:shd w:fill="F2F2F2" w:val="clear"/>
          </w:tcPr>
          <w:p>
            <w:r>
              <w:t>Senator</w:t>
            </w:r>
          </w:p>
        </w:tc>
        <w:tc>
          <w:tcPr>
            <w:tcW w:type="dxa" w:w="1872"/>
            <w:shd w:fill="F2F2F2" w:val="clear"/>
          </w:tcPr>
          <w:p>
            <w:r>
              <w:t>MT</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Steve Daines (R-MT)</w:t>
            </w:r>
          </w:p>
        </w:tc>
        <w:tc>
          <w:tcPr>
            <w:tcW w:type="dxa" w:w="1872"/>
            <w:shd w:fill="FFFFFF" w:val="clear"/>
          </w:tcPr>
          <w:p>
            <w:r>
              <w:t>Senator</w:t>
            </w:r>
          </w:p>
        </w:tc>
        <w:tc>
          <w:tcPr>
            <w:tcW w:type="dxa" w:w="1872"/>
            <w:shd w:fill="FFFFFF" w:val="clear"/>
          </w:tcPr>
          <w:p>
            <w:r>
              <w:t>MT</w:t>
            </w:r>
          </w:p>
        </w:tc>
        <w:tc>
          <w:tcPr>
            <w:tcW w:type="dxa" w:w="1872"/>
            <w:shd w:fill="FFFFFF" w:val="clear"/>
          </w:tcPr>
          <w:p>
            <w:r>
              <w:t>At-Large</w:t>
            </w:r>
          </w:p>
        </w:tc>
        <w:tc>
          <w:tcPr>
            <w:tcW w:type="dxa" w:w="1872"/>
            <w:shd w:fill="FFFFFF" w:val="clear"/>
          </w:tcPr>
          <w:p>
            <w:r>
              <w:t>Senate Committee on Energy and Natural Resources; Senate Committee on Indian Affairs</w:t>
            </w:r>
          </w:p>
        </w:tc>
      </w:tr>
      <w:tr>
        <w:tc>
          <w:tcPr>
            <w:tcW w:type="dxa" w:w="1872"/>
            <w:shd w:fill="F2F2F2" w:val="clear"/>
          </w:tcPr>
          <w:p>
            <w:r>
              <w:t>Sen. John Thune (R-SD)</w:t>
            </w:r>
          </w:p>
        </w:tc>
        <w:tc>
          <w:tcPr>
            <w:tcW w:type="dxa" w:w="1872"/>
            <w:shd w:fill="F2F2F2" w:val="clear"/>
          </w:tcPr>
          <w:p>
            <w:r>
              <w:t>Senator</w:t>
            </w:r>
          </w:p>
        </w:tc>
        <w:tc>
          <w:tcPr>
            <w:tcW w:type="dxa" w:w="1872"/>
            <w:shd w:fill="F2F2F2" w:val="clear"/>
          </w:tcPr>
          <w:p>
            <w:r>
              <w:t>SD</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Mike Rounds (R-SD)</w:t>
            </w:r>
          </w:p>
        </w:tc>
        <w:tc>
          <w:tcPr>
            <w:tcW w:type="dxa" w:w="1872"/>
            <w:shd w:fill="FFFFFF" w:val="clear"/>
          </w:tcPr>
          <w:p>
            <w:r>
              <w:t>Senator</w:t>
            </w:r>
          </w:p>
        </w:tc>
        <w:tc>
          <w:tcPr>
            <w:tcW w:type="dxa" w:w="1872"/>
            <w:shd w:fill="FFFFFF" w:val="clear"/>
          </w:tcPr>
          <w:p>
            <w:r>
              <w:t>SD</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Indian Affairs</w:t>
            </w:r>
          </w:p>
        </w:tc>
      </w:tr>
      <w:tr>
        <w:tc>
          <w:tcPr>
            <w:tcW w:type="dxa" w:w="1872"/>
            <w:shd w:fill="F2F2F2" w:val="clear"/>
          </w:tcPr>
          <w:p>
            <w:r>
              <w:t>Rep. Troy Downing (R-MT-02)</w:t>
            </w:r>
          </w:p>
        </w:tc>
        <w:tc>
          <w:tcPr>
            <w:tcW w:type="dxa" w:w="1872"/>
            <w:shd w:fill="F2F2F2" w:val="clear"/>
          </w:tcPr>
          <w:p>
            <w:r>
              <w:t>Representative</w:t>
            </w:r>
          </w:p>
        </w:tc>
        <w:tc>
          <w:tcPr>
            <w:tcW w:type="dxa" w:w="1872"/>
            <w:shd w:fill="F2F2F2" w:val="clear"/>
          </w:tcPr>
          <w:p>
            <w:r>
              <w:t>MT</w:t>
            </w:r>
          </w:p>
        </w:tc>
        <w:tc>
          <w:tcPr>
            <w:tcW w:type="dxa" w:w="1872"/>
            <w:shd w:fill="F2F2F2" w:val="clear"/>
          </w:tcPr>
          <w:p>
            <w:r>
              <w:t>2</w:t>
            </w:r>
          </w:p>
        </w:tc>
        <w:tc>
          <w:tcPr>
            <w:tcW w:type="dxa" w:w="1872"/>
            <w:shd w:fill="F2F2F2" w:val="clear"/>
          </w:tcPr>
          <w:p>
            <w:r/>
          </w:p>
        </w:tc>
      </w:tr>
      <w:tr>
        <w:tc>
          <w:tcPr>
            <w:tcW w:type="dxa" w:w="1872"/>
            <w:shd w:fill="FFFFFF" w:val="clear"/>
          </w:tcPr>
          <w:p>
            <w:r>
              <w:t>Rep. Dusty Johnson (R-SD-AL)</w:t>
            </w:r>
          </w:p>
        </w:tc>
        <w:tc>
          <w:tcPr>
            <w:tcW w:type="dxa" w:w="1872"/>
            <w:shd w:fill="FFFFFF" w:val="clear"/>
          </w:tcPr>
          <w:p>
            <w:r>
              <w:t>Representative</w:t>
            </w:r>
          </w:p>
        </w:tc>
        <w:tc>
          <w:tcPr>
            <w:tcW w:type="dxa" w:w="1872"/>
            <w:shd w:fill="FFFFFF" w:val="clear"/>
          </w:tcPr>
          <w:p>
            <w:r>
              <w:t>SD</w:t>
            </w:r>
          </w:p>
        </w:tc>
        <w:tc>
          <w:tcPr>
            <w:tcW w:type="dxa" w:w="1872"/>
            <w:shd w:fill="FFFFFF" w:val="clear"/>
          </w:tcPr>
          <w:p>
            <w:r/>
          </w:p>
        </w:tc>
        <w:tc>
          <w:tcPr>
            <w:tcW w:type="dxa" w:w="1872"/>
            <w:shd w:fill="FFFFFF" w:val="clear"/>
          </w:tcPr>
          <w:p>
            <w:r/>
          </w:p>
        </w:tc>
      </w:tr>
    </w:tbl>
    <w:p>
      <w:pPr>
        <w:pStyle w:val="HSBody"/>
      </w:pPr>
      <w:r>
        <w:t>4 members with relevant committee assignments</w:t>
      </w:r>
    </w:p>
    <w:p>
      <w:pPr>
        <w:pStyle w:val="HSSection"/>
      </w:pPr>
      <w:r>
        <w:t>Strategic Notes</w:t>
      </w:r>
    </w:p>
    <w:p>
      <w:pPr>
        <w:pStyle w:val="HSBody"/>
      </w:pPr>
      <w:r>
        <w:t>Sen. Tim Sheehy (R-MT): Sits on Senate Committee on Commerce, Science, and Transportation. Direct influence on relevant programs.</w:t>
      </w:r>
    </w:p>
    <w:p>
      <w:pPr>
        <w:pStyle w:val="HSBody"/>
      </w:pPr>
      <w:r>
        <w:t>Sen. Steve Daines (R-MT): Sits on Senate Committee on Energy and Natural Resources; Senate Committee on Indian Affairs. Direct influence on relevant programs.</w:t>
      </w:r>
    </w:p>
    <w:p>
      <w:pPr>
        <w:pStyle w:val="HSBody"/>
      </w:pPr>
      <w:r>
        <w:t>Sen. John Thune (R-SD): Sits on Senate Committee on Commerce, Science, and Transportation; Surface Transportation, Freight, Pipelines, and Safety. Direct influence on relevant programs.</w:t>
      </w:r>
    </w:p>
    <w:p>
      <w:pPr>
        <w:pStyle w:val="HSBody"/>
      </w:pPr>
      <w:r>
        <w:t>Sen. Mike Rounds (R-SD): Sits on Senate Committee on Appropriations; Agriculture, Rural Development, Food and Drug Administration, and Related Agencies; Energy and Water Development; Department of Interior, Environment, and Related Agencies; Senate Committee on Indian Affairs.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$119,939</w:t>
            </w:r>
          </w:p>
        </w:tc>
        <w:tc>
          <w:tcPr>
            <w:tcW w:type="dxa" w:w="2340"/>
            <w:shd w:fill="F2F2F2" w:val="clear"/>
          </w:tcPr>
          <w:p>
            <w:r>
              <w:t>2018-09-01 - 2021-09-30</w:t>
            </w:r>
          </w:p>
        </w:tc>
      </w:tr>
      <w:tr>
        <w:tc>
          <w:tcPr>
            <w:tcW w:type="dxa" w:w="2340"/>
            <w:shd w:fill="FFFFFF" w:val="clear"/>
          </w:tcPr>
          <w:p>
            <w:r>
              <w:t>bia_tcr</w:t>
            </w:r>
          </w:p>
        </w:tc>
        <w:tc>
          <w:tcPr>
            <w:tcW w:type="dxa" w:w="2340"/>
            <w:shd w:fill="FFFFFF" w:val="clear"/>
          </w:tcPr>
          <w:p>
            <w:r>
              <w:t>15.156</w:t>
            </w:r>
          </w:p>
        </w:tc>
        <w:tc>
          <w:tcPr>
            <w:tcW w:type="dxa" w:w="2340"/>
            <w:shd w:fill="FFFFFF" w:val="clear"/>
          </w:tcPr>
          <w:p>
            <w:r>
              <w:t>$45,310</w:t>
            </w:r>
          </w:p>
        </w:tc>
        <w:tc>
          <w:tcPr>
            <w:tcW w:type="dxa" w:w="2340"/>
            <w:shd w:fill="FFFFFF" w:val="clear"/>
          </w:tcPr>
          <w:p>
            <w:r>
              <w:t>2015-09-10 - 2025-09-30</w:t>
            </w:r>
          </w:p>
        </w:tc>
      </w:tr>
    </w:tbl>
    <w:p>
      <w:pPr>
        <w:pStyle w:val="HSBody"/>
      </w:pPr>
      <w:r>
        <w:rPr>
          <w:b/>
        </w:rPr>
        <w:t>Total: $165,249</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BIA Tribal Climate Resilience funding to Northern Cheyenne Tribe of the Northern Cheyenne Indian Reservation, Montana generated an estimated $297,448-$396,598 in regional economic activity (BEA RIMS II methodology, output multiplier range 1.8-2.4x), supporting approximately 1-2 jobs (BLS employment requirements methodology).</w:t>
      </w:r>
    </w:p>
    <w:p>
      <w:pPr>
        <w:pStyle w:val="HSBody"/>
      </w:pPr>
      <w:r>
        <w:t>Hazard Alignment: Northern Cheyenne Tribe of the Northern Cheyenne Indian Reservation, Montana's wildfire risk profile reinforces the economic case for continued federal investment in BIA Tribal Climate Resilience.</w:t>
      </w:r>
    </w:p>
    <w:p>
      <w:pPr>
        <w:pStyle w:val="HSBody"/>
      </w:pPr>
      <w:r>
        <w:t>Per-District Impact Allocation:</w:t>
      </w:r>
    </w:p>
    <w:p>
      <w:pPr>
        <w:pStyle w:val="HSBody"/>
      </w:pPr>
      <w:r>
        <w:t xml:space="preserve">  MT-02 (100% overlap): $297,151 - $396,201</w:t>
      </w:r>
    </w:p>
    <w:p>
      <w:pPr>
        <w:pStyle w:val="HSBody"/>
      </w:pPr>
      <w:r>
        <w:t xml:space="preserve">  SD-AL (0% overlap): $297 - $397</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BIA Tribal Climate Resilience funding to Northern Cheyenne Tribe of the Northern Cheyenne Indian Reservation, Montana generated an estimated $297,448-$396,598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$71,471</w:t>
            </w:r>
          </w:p>
        </w:tc>
        <w:tc>
          <w:tcPr>
            <w:tcW w:type="dxa" w:w="2340"/>
            <w:shd w:fill="F2F2F2" w:val="clear"/>
          </w:tcPr>
          <w:p/>
        </w:tc>
      </w:tr>
      <w:tr>
        <w:tc>
          <w:tcPr>
            <w:tcW w:type="dxa" w:w="2340"/>
            <w:shd w:fill="FFFFFF" w:val="clear"/>
          </w:tcPr>
          <w:p>
            <w:r>
              <w:t>fema_bric</w:t>
            </w:r>
          </w:p>
        </w:tc>
        <w:tc>
          <w:tcPr>
            <w:tcW w:type="dxa" w:w="2340"/>
            <w:shd w:fill="FFFFFF" w:val="clear"/>
          </w:tcPr>
          <w:p>
            <w:r>
              <w:t>97.047</w:t>
            </w:r>
          </w:p>
        </w:tc>
        <w:tc>
          <w:tcPr>
            <w:tcW w:type="dxa" w:w="2340"/>
            <w:shd w:fill="FFFFFF" w:val="clear"/>
          </w:tcPr>
          <w:p>
            <w:r>
              <w:t>$1,462,649</w:t>
            </w:r>
          </w:p>
        </w:tc>
        <w:tc>
          <w:tcPr>
            <w:tcW w:type="dxa" w:w="2340"/>
            <w:shd w:fill="FFFFFF" w:val="clear"/>
          </w:tcPr>
          <w:p>
            <w:r>
              <w:t>2023-11-28 - 2026-11-27</w:t>
            </w:r>
          </w:p>
        </w:tc>
      </w:tr>
    </w:tbl>
    <w:p>
      <w:pPr>
        <w:pStyle w:val="HSBody"/>
      </w:pPr>
      <w:r>
        <w:rPr>
          <w:b/>
        </w:rPr>
        <w:t>Total: $1,534,120</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FEMA BRIC funding to Northern Cheyenne Tribe of the Northern Cheyenne Indian Reservation, Montana generated an estimated $2,761,416-$3,681,889 in regional economic activity (BEA RIMS II methodology, output multiplier range 1.8-2.4x), supporting approximately 12-23 jobs (BLS employment requirements methodology).</w:t>
      </w:r>
    </w:p>
    <w:p>
      <w:pPr>
        <w:pStyle w:val="HSBody"/>
      </w:pPr>
      <w:r>
        <w:t>Hazard Alignment: Northern Cheyenne Tribe of the Northern Cheyenne Indian Reservation, Montana's wildfire risk profile reinforces the economic case for continued federal investment in FEMA BRIC.</w:t>
      </w:r>
    </w:p>
    <w:p>
      <w:pPr>
        <w:pStyle w:val="HSBody"/>
      </w:pPr>
      <w:r>
        <w:t>Per-District Impact Allocation:</w:t>
      </w:r>
    </w:p>
    <w:p>
      <w:pPr>
        <w:pStyle w:val="HSBody"/>
      </w:pPr>
      <w:r>
        <w:t xml:space="preserve">  MT-02 (100% overlap): $2,758,655 - $3,678,207</w:t>
      </w:r>
    </w:p>
    <w:p>
      <w:pPr>
        <w:pStyle w:val="HSBody"/>
      </w:pPr>
      <w:r>
        <w:t xml:space="preserve">  SD-AL (0% overlap): $2,761 - $3,682</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FEMA BRIC funding to Northern Cheyenne Tribe of the Northern Cheyenne Indian Reservation, Montana generated an estimated $2,761,416-$3,681,889 in regional economic activity (BEA RIMS II methodology, output multiplier range 1.8-2.4x), supporting approximately 12-23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Northern Cheyenne Tribe of the Northern Cheyenne Indian Reservation, Montana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Northern Cheyenne Tribe of the Northern Cheyenne Indian Reservation, Montana's wildfire risk profile reinforces the economic case for continued federal investment in IRS Elective Pay.</w:t>
      </w:r>
    </w:p>
    <w:p>
      <w:pPr>
        <w:pStyle w:val="HSBody"/>
      </w:pPr>
      <w:r>
        <w:t>Per-District Impact Allocation:</w:t>
      </w:r>
    </w:p>
    <w:p>
      <w:pPr>
        <w:pStyle w:val="HSBody"/>
      </w:pPr>
      <w:r>
        <w:t xml:space="preserve">  MT-02 (100% overlap): $359,640 - $479,520</w:t>
      </w:r>
    </w:p>
    <w:p>
      <w:pPr>
        <w:pStyle w:val="HSBody"/>
      </w:pPr>
      <w:r>
        <w:t xml:space="preserve">  SD-AL (0% overlap): $360 - $480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$71,471</w:t>
            </w:r>
          </w:p>
        </w:tc>
        <w:tc>
          <w:tcPr>
            <w:tcW w:type="dxa" w:w="2340"/>
            <w:shd w:fill="F2F2F2" w:val="clear"/>
          </w:tcPr>
          <w:p/>
        </w:tc>
      </w:tr>
      <w:tr>
        <w:tc>
          <w:tcPr>
            <w:tcW w:type="dxa" w:w="2340"/>
            <w:shd w:fill="FFFFFF" w:val="clear"/>
          </w:tcPr>
          <w:p>
            <w:r>
              <w:t>fema_bric</w:t>
            </w:r>
          </w:p>
        </w:tc>
        <w:tc>
          <w:tcPr>
            <w:tcW w:type="dxa" w:w="2340"/>
            <w:shd w:fill="FFFFFF" w:val="clear"/>
          </w:tcPr>
          <w:p>
            <w:r>
              <w:t>97.047</w:t>
            </w:r>
          </w:p>
        </w:tc>
        <w:tc>
          <w:tcPr>
            <w:tcW w:type="dxa" w:w="2340"/>
            <w:shd w:fill="FFFFFF" w:val="clear"/>
          </w:tcPr>
          <w:p>
            <w:r>
              <w:t>$1,462,649</w:t>
            </w:r>
          </w:p>
        </w:tc>
        <w:tc>
          <w:tcPr>
            <w:tcW w:type="dxa" w:w="2340"/>
            <w:shd w:fill="FFFFFF" w:val="clear"/>
          </w:tcPr>
          <w:p>
            <w:r>
              <w:t>2023-11-28 - 2026-11-27</w:t>
            </w:r>
          </w:p>
        </w:tc>
      </w:tr>
    </w:tbl>
    <w:p>
      <w:pPr>
        <w:pStyle w:val="HSBody"/>
      </w:pPr>
      <w:r>
        <w:rPr>
          <w:b/>
        </w:rPr>
        <w:t>Total: $1,534,120</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Northern Cheyenne Tribe of the Northern Cheyenne Indian Reservation, Montana's wildfire risk profile reinforces the economic case for continued federal investment in FEMA Tribal Mitigation Plans.</w:t>
      </w:r>
    </w:p>
    <w:p>
      <w:pPr>
        <w:pStyle w:val="HSBody"/>
      </w:pPr>
      <w:r>
        <w:t>Per-District Impact Allocation:</w:t>
      </w:r>
    </w:p>
    <w:p>
      <w:pPr>
        <w:pStyle w:val="HSBody"/>
      </w:pPr>
      <w:r>
        <w:t xml:space="preserve">  MT-02 (100% overlap): $539,460 - $719,280</w:t>
      </w:r>
    </w:p>
    <w:p>
      <w:pPr>
        <w:pStyle w:val="HSBody"/>
      </w:pPr>
      <w:r>
        <w:t xml:space="preserve">  SD-AL (0% overlap): $540 - $720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Northern Cheyenne Tribe of the Northern Cheyenne Indian Reservation, Montana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Northern Cheyenne Tribe of the Northern Cheyenne Indian Reservation, Montana's wildfire risk profile reinforces the economic case for continued federal investment in USDA Wildfire Defense Grants.</w:t>
      </w:r>
    </w:p>
    <w:p>
      <w:pPr>
        <w:pStyle w:val="HSBody"/>
      </w:pPr>
      <w:r>
        <w:t>Per-District Impact Allocation:</w:t>
      </w:r>
    </w:p>
    <w:p>
      <w:pPr>
        <w:pStyle w:val="HSBody"/>
      </w:pPr>
      <w:r>
        <w:t xml:space="preserve">  MT-02 (100% overlap): $629,370 - $839,160</w:t>
      </w:r>
    </w:p>
    <w:p>
      <w:pPr>
        <w:pStyle w:val="HSBody"/>
      </w:pPr>
      <w:r>
        <w:t xml:space="preserve">  SD-AL (0% overlap): $630 - $840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$47,240,133</w:t>
            </w:r>
          </w:p>
        </w:tc>
        <w:tc>
          <w:tcPr>
            <w:tcW w:type="dxa" w:w="2340"/>
            <w:shd w:fill="F2F2F2" w:val="clear"/>
          </w:tcPr>
          <w:p>
            <w:r>
              <w:t>2012-02-07 - 2034-09-30</w:t>
            </w:r>
          </w:p>
        </w:tc>
      </w:tr>
    </w:tbl>
    <w:p>
      <w:pPr>
        <w:pStyle w:val="HSBody"/>
      </w:pPr>
      <w:r>
        <w:rPr>
          <w:b/>
        </w:rPr>
        <w:t>Total: $47,240,133</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HUD IHBG funding to Northern Cheyenne Tribe of the Northern Cheyenne Indian Reservation, Montana generated an estimated $85,032,239-$113,376,319 in regional economic activity (BEA RIMS II methodology, output multiplier range 1.8-2.4x), supporting approximately 378-709 jobs (BLS employment requirements methodology).</w:t>
      </w:r>
    </w:p>
    <w:p>
      <w:pPr>
        <w:pStyle w:val="HSBody"/>
      </w:pPr>
      <w:r>
        <w:t>Hazard Alignment: Northern Cheyenne Tribe of the Northern Cheyenne Indian Reservation, Montana's wildfire risk profile reinforces the economic case for continued federal investment in HUD IHBG.</w:t>
      </w:r>
    </w:p>
    <w:p>
      <w:pPr>
        <w:pStyle w:val="HSBody"/>
      </w:pPr>
      <w:r>
        <w:t>Per-District Impact Allocation:</w:t>
      </w:r>
    </w:p>
    <w:p>
      <w:pPr>
        <w:pStyle w:val="HSBody"/>
      </w:pPr>
      <w:r>
        <w:t xml:space="preserve">  MT-02 (100% overlap): $84,947,207 - $113,262,943</w:t>
      </w:r>
    </w:p>
    <w:p>
      <w:pPr>
        <w:pStyle w:val="HSBody"/>
      </w:pPr>
      <w:r>
        <w:t xml:space="preserve">  SD-AL (0% overlap): $85,032 - $113,376</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HUD IHBG funding to Northern Cheyenne Tribe of the Northern Cheyenne Indian Reservation, Montana generated an estimated $85,032,239-$113,376,319 in regional economic activity (BEA RIMS II methodology, output multiplier range 1.8-2.4x), supporting approximately 378-709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Northern Cheyenne Tribe of the Northern Cheyenne Indian Reservation, Montana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Northern Cheyenne Tribe of the Northern Cheyenne Indian Reservation, Montana's wildfire risk profile reinforces the economic case for continued federal investment in DOT PROTECT.</w:t>
      </w:r>
    </w:p>
    <w:p>
      <w:pPr>
        <w:pStyle w:val="HSBody"/>
      </w:pPr>
      <w:r>
        <w:t>Per-District Impact Allocation:</w:t>
      </w:r>
    </w:p>
    <w:p>
      <w:pPr>
        <w:pStyle w:val="HSBody"/>
      </w:pPr>
      <w:r>
        <w:t xml:space="preserve">  MT-02 (100% overlap): $449,550 - $599,400</w:t>
      </w:r>
    </w:p>
    <w:p>
      <w:pPr>
        <w:pStyle w:val="HSBody"/>
      </w:pPr>
      <w:r>
        <w:t xml:space="preserve">  SD-AL (0% overlap): $450 - $600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$3,258,514</w:t>
            </w:r>
          </w:p>
        </w:tc>
        <w:tc>
          <w:tcPr>
            <w:tcW w:type="dxa" w:w="2340"/>
            <w:shd w:fill="F2F2F2" w:val="clear"/>
          </w:tcPr>
          <w:p>
            <w:r>
              <w:t>2019-10-01 - 2027-12-30</w:t>
            </w:r>
          </w:p>
        </w:tc>
      </w:tr>
    </w:tbl>
    <w:p>
      <w:pPr>
        <w:pStyle w:val="HSBody"/>
      </w:pPr>
      <w:r>
        <w:rPr>
          <w:b/>
        </w:rPr>
        <w:t>Total: $3,258,514</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DOE Indian Energy funding to Northern Cheyenne Tribe of the Northern Cheyenne Indian Reservation, Montana generated an estimated $5,865,325-$7,820,434 in regional economic activity (BEA RIMS II methodology, output multiplier range 1.8-2.4x), supporting approximately 26-49 jobs (BLS employment requirements methodology).</w:t>
      </w:r>
    </w:p>
    <w:p>
      <w:pPr>
        <w:pStyle w:val="HSBody"/>
      </w:pPr>
      <w:r>
        <w:t>Hazard Alignment: Northern Cheyenne Tribe of the Northern Cheyenne Indian Reservation, Montana's wildfire risk profile reinforces the economic case for continued federal investment in DOE Indian Energy.</w:t>
      </w:r>
    </w:p>
    <w:p>
      <w:pPr>
        <w:pStyle w:val="HSBody"/>
      </w:pPr>
      <w:r>
        <w:t>Per-District Impact Allocation:</w:t>
      </w:r>
    </w:p>
    <w:p>
      <w:pPr>
        <w:pStyle w:val="HSBody"/>
      </w:pPr>
      <w:r>
        <w:t xml:space="preserve">  MT-02 (100% overlap): $5,859,460 - $7,812,613</w:t>
      </w:r>
    </w:p>
    <w:p>
      <w:pPr>
        <w:pStyle w:val="HSBody"/>
      </w:pPr>
      <w:r>
        <w:t xml:space="preserve">  SD-AL (0% overlap): $5,865 - $7,820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DOE Indian Energy funding to Northern Cheyenne Tribe of the Northern Cheyenne Indian Reservation, Montana generated an estimated $5,865,325-$7,820,434 in regional economic activity (BEA RIMS II methodology, output multiplier range 1.8-2.4x), supporting approximately 26-49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Northern Cheyenne Tribe of the Northern Cheyenne Indian Reservation, Montana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Northern Cheyenne Tribe of the Northern Cheyenne Indian Reservation, Montana's wildfire risk profile reinforces the economic case for continued federal investment in EPA GAP.</w:t>
      </w:r>
    </w:p>
    <w:p>
      <w:pPr>
        <w:pStyle w:val="HSBody"/>
      </w:pPr>
      <w:r>
        <w:t>Per-District Impact Allocation:</w:t>
      </w:r>
    </w:p>
    <w:p>
      <w:pPr>
        <w:pStyle w:val="HSBody"/>
      </w:pPr>
      <w:r>
        <w:t xml:space="preserve">  MT-02 (100% overlap): $134,865 - $179,820</w:t>
      </w:r>
    </w:p>
    <w:p>
      <w:pPr>
        <w:pStyle w:val="HSBody"/>
      </w:pPr>
      <w:r>
        <w:t xml:space="preserve">  SD-AL (0% overlap): $135 - $180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Northern Cheyenne Tribe of the Northern Cheyenne Indian Reservation, Montana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Northern Cheyenne Tribe of the Northern Cheyenne Indian Reservation, Montana's wildfire risk profile reinforces the economic case for continued federal investment in EPA STAG.</w:t>
      </w:r>
    </w:p>
    <w:p>
      <w:pPr>
        <w:pStyle w:val="HSBody"/>
      </w:pPr>
      <w:r>
        <w:t>Per-District Impact Allocation:</w:t>
      </w:r>
    </w:p>
    <w:p>
      <w:pPr>
        <w:pStyle w:val="HSBody"/>
      </w:pPr>
      <w:r>
        <w:t xml:space="preserve">  MT-02 (100% overlap): $179,820 - $239,760</w:t>
      </w:r>
    </w:p>
    <w:p>
      <w:pPr>
        <w:pStyle w:val="HSBody"/>
      </w:pPr>
      <w:r>
        <w:t xml:space="preserve">  SD-AL (0% overlap): $180 - $240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Northern Cheyenne Tribe of the Northern Cheyenne Indian Reservation, Montana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Northern Cheyenne Tribe of the Northern Cheyenne Indian Reservation, Montana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Northern Cheyenne Tribe of the Northern Cheyenne Indian Reservation,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Troy Downing (R-MT-02)</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33.3)</w:t>
      </w:r>
    </w:p>
    <w:p>
      <w:pPr>
        <w:pStyle w:val="HSBody"/>
      </w:pPr>
      <w:r>
        <w:t>Social Vulnerability: Relatively Moderate (Score: 46.9)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75.0</w:t>
            </w:r>
          </w:p>
        </w:tc>
        <w:tc>
          <w:tcPr>
            <w:tcW w:type="dxa" w:w="2340"/>
            <w:shd w:fill="F2F2F2" w:val="clear"/>
          </w:tcPr>
          <w:p>
            <w:r>
              <w:t>Relatively High</w:t>
            </w:r>
          </w:p>
        </w:tc>
        <w:tc>
          <w:tcPr>
            <w:tcW w:type="dxa" w:w="2340"/>
            <w:shd w:fill="F2F2F2" w:val="clear"/>
          </w:tcPr>
          <w:p>
            <w:r>
              <w:t>$1,298,255</w:t>
            </w:r>
          </w:p>
        </w:tc>
      </w:tr>
      <w:tr>
        <w:tc>
          <w:tcPr>
            <w:tcW w:type="dxa" w:w="2340"/>
            <w:shd w:fill="FFFFFF" w:val="clear"/>
          </w:tcPr>
          <w:p>
            <w:r>
              <w:t>Cold Wave</w:t>
            </w:r>
          </w:p>
        </w:tc>
        <w:tc>
          <w:tcPr>
            <w:tcW w:type="dxa" w:w="2340"/>
            <w:shd w:fill="FFFFFF" w:val="clear"/>
          </w:tcPr>
          <w:p>
            <w:r>
              <w:t>68.4</w:t>
            </w:r>
          </w:p>
        </w:tc>
        <w:tc>
          <w:tcPr>
            <w:tcW w:type="dxa" w:w="2340"/>
            <w:shd w:fill="FFFFFF" w:val="clear"/>
          </w:tcPr>
          <w:p>
            <w:r>
              <w:t>Relatively High</w:t>
            </w:r>
          </w:p>
        </w:tc>
        <w:tc>
          <w:tcPr>
            <w:tcW w:type="dxa" w:w="2340"/>
            <w:shd w:fill="FFFFFF" w:val="clear"/>
          </w:tcPr>
          <w:p>
            <w:r>
              <w:t>$4,356,960</w:t>
            </w:r>
          </w:p>
        </w:tc>
      </w:tr>
      <w:tr>
        <w:tc>
          <w:tcPr>
            <w:tcW w:type="dxa" w:w="2340"/>
            <w:shd w:fill="F2F2F2" w:val="clear"/>
          </w:tcPr>
          <w:p>
            <w:r>
              <w:t>Winter Weather</w:t>
            </w:r>
          </w:p>
        </w:tc>
        <w:tc>
          <w:tcPr>
            <w:tcW w:type="dxa" w:w="2340"/>
            <w:shd w:fill="F2F2F2" w:val="clear"/>
          </w:tcPr>
          <w:p>
            <w:r>
              <w:t>65.8</w:t>
            </w:r>
          </w:p>
        </w:tc>
        <w:tc>
          <w:tcPr>
            <w:tcW w:type="dxa" w:w="2340"/>
            <w:shd w:fill="F2F2F2" w:val="clear"/>
          </w:tcPr>
          <w:p>
            <w:r>
              <w:t>Relatively High</w:t>
            </w:r>
          </w:p>
        </w:tc>
        <w:tc>
          <w:tcPr>
            <w:tcW w:type="dxa" w:w="2340"/>
            <w:shd w:fill="F2F2F2" w:val="clear"/>
          </w:tcPr>
          <w:p>
            <w:r>
              <w:t>$327,140</w:t>
            </w:r>
          </w:p>
        </w:tc>
      </w:tr>
      <w:tr>
        <w:tc>
          <w:tcPr>
            <w:tcW w:type="dxa" w:w="2340"/>
            <w:shd w:fill="FFFFFF" w:val="clear"/>
          </w:tcPr>
          <w:p>
            <w:r>
              <w:t>Landslide</w:t>
            </w:r>
          </w:p>
        </w:tc>
        <w:tc>
          <w:tcPr>
            <w:tcW w:type="dxa" w:w="2340"/>
            <w:shd w:fill="FFFFFF" w:val="clear"/>
          </w:tcPr>
          <w:p>
            <w:r>
              <w:t>57.5</w:t>
            </w:r>
          </w:p>
        </w:tc>
        <w:tc>
          <w:tcPr>
            <w:tcW w:type="dxa" w:w="2340"/>
            <w:shd w:fill="FFFFFF" w:val="clear"/>
          </w:tcPr>
          <w:p>
            <w:r>
              <w:t>Relatively Moderate</w:t>
            </w:r>
          </w:p>
        </w:tc>
        <w:tc>
          <w:tcPr>
            <w:tcW w:type="dxa" w:w="2340"/>
            <w:shd w:fill="FFFFFF" w:val="clear"/>
          </w:tcPr>
          <w:p>
            <w:r>
              <w:t>$61,678</w:t>
            </w:r>
          </w:p>
        </w:tc>
      </w:tr>
      <w:tr>
        <w:tc>
          <w:tcPr>
            <w:tcW w:type="dxa" w:w="2340"/>
            <w:shd w:fill="F2F2F2" w:val="clear"/>
          </w:tcPr>
          <w:p>
            <w:r>
              <w:t>Lightning</w:t>
            </w:r>
          </w:p>
        </w:tc>
        <w:tc>
          <w:tcPr>
            <w:tcW w:type="dxa" w:w="2340"/>
            <w:shd w:fill="F2F2F2" w:val="clear"/>
          </w:tcPr>
          <w:p>
            <w:r>
              <w:t>41.0</w:t>
            </w:r>
          </w:p>
        </w:tc>
        <w:tc>
          <w:tcPr>
            <w:tcW w:type="dxa" w:w="2340"/>
            <w:shd w:fill="F2F2F2" w:val="clear"/>
          </w:tcPr>
          <w:p>
            <w:r>
              <w:t>Relatively Moderate</w:t>
            </w:r>
          </w:p>
        </w:tc>
        <w:tc>
          <w:tcPr>
            <w:tcW w:type="dxa" w:w="2340"/>
            <w:shd w:fill="F2F2F2" w:val="clear"/>
          </w:tcPr>
          <w:p>
            <w:r>
              <w:t>$266,746</w:t>
            </w:r>
          </w:p>
        </w:tc>
      </w:tr>
    </w:tbl>
    <w:p>
      <w:pPr>
        <w:pStyle w:val="HSSection"/>
      </w:pPr>
      <w:r>
        <w:t>Hazard-to-Program Alignment</w:t>
      </w:r>
    </w:p>
    <w:p>
      <w:pPr>
        <w:pStyle w:val="HSBody"/>
      </w:pPr>
      <w:r>
        <w:t>Northern Cheyenne Tribe of the Northern Cheyenne Indian Reservation, Montana's top hazard exposures (Wildfire, Cold Wave,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Northern Cheyenne Tribe of the Northern Cheyenne Indian Reservation, Montana.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Northern Cheyenne Tribe of the Northern Cheyenne Indian Reservation, Montana's advocacy engagements during the current congressional session.</w:t>
      </w:r>
    </w:p>
    <w:p>
      <w:pPr>
        <w:pStyle w:val="HSSection"/>
      </w:pPr>
      <w:r>
        <w:t>Core Message</w:t>
      </w:r>
    </w:p>
    <w:p>
      <w:pPr>
        <w:pStyle w:val="HSBody"/>
      </w:pPr>
      <w:r>
        <w:t>Northern Cheyenne Tribe of the Northern Cheyenne Indian Reservation, Montana faces significant wildfire risk. Congress has funded programs that address this risk, but administrative delivery gaps and structural barriers prevent these resources from reaching Tribal communities in MT.</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Northern Cheyenne Tribe of the Northern Cheyenne Indian Reservation, Montana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Northern Cheyenne Tribe of the Northern Cheyenne Indian Reservation, Montana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