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Quinault Indian Nation</w:t>
      </w:r>
    </w:p>
    <w:p>
      <w:pPr>
        <w:pStyle w:val="HSBody"/>
      </w:pPr>
      <w:r>
        <w:t>Prepared for the offices of: 2 Senators, 1 Representative</w:t>
      </w:r>
    </w:p>
    <w:p>
      <w:pPr>
        <w:pStyle w:val="HSBody"/>
      </w:pPr>
      <w:r>
        <w:t>State(s): WA</w:t>
      </w:r>
    </w:p>
    <w:p>
      <w:pPr>
        <w:pStyle w:val="HSBody"/>
      </w:pPr>
      <w:r>
        <w:t>Ecoregion(s): pacific_northwest</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DOT PROTECT</w:t>
      </w:r>
      <w:r>
        <w:t xml:space="preserve">  </w:t>
      </w:r>
      <w:r>
        <w:rPr>
          <w:color w:val="4B5563"/>
          <w:sz w:val="16"/>
        </w:rPr>
        <w:t>[Secure]</w:t>
      </w:r>
    </w:p>
    <w:p>
      <w:pPr>
        <w:pStyle w:val="HSBody"/>
      </w:pPr>
      <w:r>
        <w:t>6. USDA Wildfire Defense Grants</w:t>
      </w:r>
      <w:r>
        <w:t xml:space="preserve">  </w:t>
      </w:r>
      <w:r>
        <w:rPr>
          <w:color w:val="4B5563"/>
          <w:sz w:val="16"/>
        </w:rPr>
        <w:t>[Stable but Vulnerable]</w:t>
      </w:r>
    </w:p>
    <w:p>
      <w:pPr>
        <w:pStyle w:val="HSBody"/>
      </w:pPr>
      <w:r>
        <w:t>7. EPA GAP</w:t>
      </w:r>
      <w:r>
        <w:t xml:space="preserve">  </w:t>
      </w:r>
      <w:r>
        <w:rPr>
          <w:color w:val="4B5563"/>
          <w:sz w:val="16"/>
        </w:rPr>
        <w:t>[Stable]</w:t>
      </w:r>
    </w:p>
    <w:p>
      <w:pPr>
        <w:pStyle w:val="HSBody"/>
      </w:pPr>
      <w:r>
        <w:t>8. NOAA Tribal Grants</w:t>
      </w:r>
      <w:r>
        <w:t xml:space="preserve">  </w:t>
      </w:r>
      <w:r>
        <w:rPr>
          <w:color w:val="4B5563"/>
          <w:sz w:val="16"/>
        </w:rPr>
        <w:t>[Uncertain]</w:t>
      </w:r>
    </w:p>
    <w:p>
      <w:pPr>
        <w:pStyle w:val="HSBody"/>
      </w:pPr>
      <w:r>
        <w:t>9. DOE Indian Energy</w:t>
      </w:r>
      <w:r>
        <w:t xml:space="preserve">  </w:t>
      </w:r>
      <w:r>
        <w:rPr>
          <w:color w:val="4B5563"/>
          <w:sz w:val="16"/>
        </w:rPr>
        <w:t>[Uncertain]</w:t>
      </w:r>
    </w:p>
    <w:p>
      <w:pPr>
        <w:pStyle w:val="HSBody"/>
      </w:pPr>
      <w:r>
        <w:t>10. HUD IHBG</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Quinault Indian Nation's climate risk profile and geographic context.</w:t>
      </w:r>
    </w:p>
    <w:p>
      <w:r>
        <w:br w:type="page"/>
      </w:r>
    </w:p>
    <w:p>
      <w:pPr>
        <w:pStyle w:val="Heading2"/>
      </w:pPr>
      <w:r>
        <w:t>Executive Summary</w:t>
      </w:r>
    </w:p>
    <w:p>
      <w:pPr>
        <w:pStyle w:val="HSTitle"/>
      </w:pPr>
      <w:r>
        <w:t>Quinault Indian Nation -- WA</w:t>
      </w:r>
    </w:p>
    <w:p>
      <w:pPr>
        <w:pStyle w:val="HSBody"/>
      </w:pPr>
      <w:r>
        <w:t>This strategy document outlines Quinault Indian Nation's federal climate resilience funding landscape, identifies strategic leverage points across key programs, and recommends sequenced advocacy actions for the current congressional session.</w:t>
      </w:r>
    </w:p>
    <w:p>
      <w:pPr>
        <w:pStyle w:val="HSBody"/>
      </w:pPr>
      <w:r>
        <w:t>Top Climate Hazards: Landslide, Earthquake, Wildfire</w:t>
      </w:r>
    </w:p>
    <w:p>
      <w:pPr>
        <w:pStyle w:val="HSBody"/>
      </w:pPr>
      <w:r>
        <w:t>Total Federal Climate Resilience Funding: $39,473,386</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Patty Murray (D-WA)</w:t>
            </w:r>
          </w:p>
        </w:tc>
        <w:tc>
          <w:tcPr>
            <w:tcW w:type="dxa" w:w="1872"/>
            <w:shd w:fill="F2F2F2" w:val="clear"/>
          </w:tcPr>
          <w:p>
            <w:r>
              <w:t>Senator</w:t>
            </w:r>
          </w:p>
        </w:tc>
        <w:tc>
          <w:tcPr>
            <w:tcW w:type="dxa" w:w="1872"/>
            <w:shd w:fill="F2F2F2" w:val="clear"/>
          </w:tcPr>
          <w:p>
            <w:r>
              <w:t>WA</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w:t>
            </w:r>
          </w:p>
        </w:tc>
      </w:tr>
      <w:tr>
        <w:tc>
          <w:tcPr>
            <w:tcW w:type="dxa" w:w="1872"/>
            <w:shd w:fill="FFFFFF" w:val="clear"/>
          </w:tcPr>
          <w:p>
            <w:r>
              <w:t>Sen. Maria Cantwell (D-WA)</w:t>
            </w:r>
          </w:p>
        </w:tc>
        <w:tc>
          <w:tcPr>
            <w:tcW w:type="dxa" w:w="1872"/>
            <w:shd w:fill="FFFFFF" w:val="clear"/>
          </w:tcPr>
          <w:p>
            <w:r>
              <w:t>Senator</w:t>
            </w:r>
          </w:p>
        </w:tc>
        <w:tc>
          <w:tcPr>
            <w:tcW w:type="dxa" w:w="1872"/>
            <w:shd w:fill="FFFFFF" w:val="clear"/>
          </w:tcPr>
          <w:p>
            <w:r>
              <w:t>WA</w:t>
            </w:r>
          </w:p>
        </w:tc>
        <w:tc>
          <w:tcPr>
            <w:tcW w:type="dxa" w:w="1872"/>
            <w:shd w:fill="FFFFFF" w:val="clear"/>
          </w:tcPr>
          <w:p>
            <w:r>
              <w:t>At-Large</w:t>
            </w:r>
          </w:p>
        </w:tc>
        <w:tc>
          <w:tcPr>
            <w:tcW w:type="dxa" w:w="1872"/>
            <w:shd w:fill="FFFFFF" w:val="clear"/>
          </w:tcPr>
          <w:p>
            <w:r>
              <w:t>Senate Committee on Commerce, Science, and Transportation; Surface Transportation, Freight, Pipelines, and Safety; Senate Committee on Energy and Natural Resources; Senate Committee on Indian Affairs</w:t>
            </w:r>
          </w:p>
        </w:tc>
      </w:tr>
      <w:tr>
        <w:tc>
          <w:tcPr>
            <w:tcW w:type="dxa" w:w="1872"/>
            <w:shd w:fill="F2F2F2" w:val="clear"/>
          </w:tcPr>
          <w:p>
            <w:r>
              <w:t>Rep. Emily Randall (D-WA-06)</w:t>
            </w:r>
          </w:p>
        </w:tc>
        <w:tc>
          <w:tcPr>
            <w:tcW w:type="dxa" w:w="1872"/>
            <w:shd w:fill="F2F2F2" w:val="clear"/>
          </w:tcPr>
          <w:p>
            <w:r>
              <w:t>Representative</w:t>
            </w:r>
          </w:p>
        </w:tc>
        <w:tc>
          <w:tcPr>
            <w:tcW w:type="dxa" w:w="1872"/>
            <w:shd w:fill="F2F2F2" w:val="clear"/>
          </w:tcPr>
          <w:p>
            <w:r>
              <w:t>WA</w:t>
            </w:r>
          </w:p>
        </w:tc>
        <w:tc>
          <w:tcPr>
            <w:tcW w:type="dxa" w:w="1872"/>
            <w:shd w:fill="F2F2F2" w:val="clear"/>
          </w:tcPr>
          <w:p>
            <w:r>
              <w:t>6</w:t>
            </w:r>
          </w:p>
        </w:tc>
        <w:tc>
          <w:tcPr>
            <w:tcW w:type="dxa" w:w="1872"/>
            <w:shd w:fill="F2F2F2" w:val="clear"/>
          </w:tcPr>
          <w:p>
            <w:r>
              <w:t>House Committee on Natural Resources</w:t>
            </w:r>
          </w:p>
        </w:tc>
      </w:tr>
    </w:tbl>
    <w:p>
      <w:pPr>
        <w:pStyle w:val="HSBody"/>
      </w:pPr>
      <w:r>
        <w:t>3 members with relevant committee assignments</w:t>
      </w:r>
    </w:p>
    <w:p>
      <w:pPr>
        <w:pStyle w:val="HSSection"/>
      </w:pPr>
      <w:r>
        <w:t>Strategic Notes</w:t>
      </w:r>
    </w:p>
    <w:p>
      <w:pPr>
        <w:pStyle w:val="HSBody"/>
      </w:pPr>
      <w:r>
        <w:t>Sen. Patty Murray (D-WA): Sits on Senate Committee on Appropriations; Agriculture, Rural Development, Food and Drug Administration, and Related Agencies; Commerce, Justice, Science, and Related Agencies; Energy and Water Development; Department of Interior, Environment, and Related Agencies; Transportation, Housing and Urban Development, and Related Agencies. Direct influence on relevant programs.</w:t>
      </w:r>
    </w:p>
    <w:p>
      <w:pPr>
        <w:pStyle w:val="HSBody"/>
      </w:pPr>
      <w:r>
        <w:t>Sen. Maria Cantwell (D-WA): Sits on Senate Committee on Commerce, Science, and Transportation; Surface Transportation, Freight, Pipelines, and Safety; Senate Committee on Energy and Natural Resources; Senate Committee on Indian Affairs. Direct influence on relevant programs.</w:t>
      </w:r>
    </w:p>
    <w:p>
      <w:pPr>
        <w:pStyle w:val="HSBody"/>
      </w:pPr>
      <w:r>
        <w:t>Rep. Emily Randall (D-WA-06): Sits on House Committee on Natural Resources.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$1,400,000</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$95,738</w:t>
            </w:r>
          </w:p>
        </w:tc>
        <w:tc>
          <w:tcPr>
            <w:tcW w:type="dxa" w:w="2340"/>
            <w:shd w:fill="FFFFFF" w:val="clear"/>
          </w:tcPr>
          <w:p>
            <w:r>
              <w:t>2022-03-08 - 2025-03-07</w:t>
            </w:r>
          </w:p>
        </w:tc>
      </w:tr>
      <w:tr>
        <w:tc>
          <w:tcPr>
            <w:tcW w:type="dxa" w:w="2340"/>
            <w:shd w:fill="F2F2F2" w:val="clear"/>
          </w:tcPr>
          <w:p>
            <w:r>
              <w:t>fema_bric</w:t>
            </w:r>
          </w:p>
        </w:tc>
        <w:tc>
          <w:tcPr>
            <w:tcW w:type="dxa" w:w="2340"/>
            <w:shd w:fill="F2F2F2" w:val="clear"/>
          </w:tcPr>
          <w:p>
            <w:r>
              <w:t>97.047</w:t>
            </w:r>
          </w:p>
        </w:tc>
        <w:tc>
          <w:tcPr>
            <w:tcW w:type="dxa" w:w="2340"/>
            <w:shd w:fill="F2F2F2" w:val="clear"/>
          </w:tcPr>
          <w:p>
            <w:r>
              <w:t>$19,656</w:t>
            </w:r>
          </w:p>
        </w:tc>
        <w:tc>
          <w:tcPr>
            <w:tcW w:type="dxa" w:w="2340"/>
            <w:shd w:fill="F2F2F2" w:val="clear"/>
          </w:tcPr>
          <w:p>
            <w:r>
              <w:t>2021-05-01 - None</w:t>
            </w:r>
          </w:p>
        </w:tc>
      </w:tr>
    </w:tbl>
    <w:p>
      <w:pPr>
        <w:pStyle w:val="HSBody"/>
      </w:pPr>
      <w:r>
        <w:rPr>
          <w:b/>
        </w:rPr>
        <w:t>Total: $1,515,394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FEMA BRIC funding to Quinault Indian Nation generated an estimated $2,727,708-$3,636,945 in regional economic activity (BEA RIMS II methodology, output multiplier range 1.8-2.4x), supporting approximately 12-23 jobs (BLS employment requirements methodology).</w:t>
      </w:r>
    </w:p>
    <w:p>
      <w:pPr>
        <w:pStyle w:val="HSBody"/>
      </w:pPr>
      <w:r>
        <w:t>Hazard Alignment: Quinault Indian Nation's landslide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FEMA BRIC funding to Quinault Indian Nation generated an estimated $2,727,708-$3,636,945 in regional economic activity (BEA RIMS II methodology, output multiplier range 1.8-2.4x), supporting approximately 12-23 jobs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BRIC;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bia_tcr</w:t>
            </w:r>
          </w:p>
        </w:tc>
        <w:tc>
          <w:tcPr>
            <w:tcW w:type="dxa" w:w="2340"/>
            <w:shd w:fill="F2F2F2" w:val="clear"/>
          </w:tcPr>
          <w:p>
            <w:r>
              <w:t>15.156</w:t>
            </w:r>
          </w:p>
        </w:tc>
        <w:tc>
          <w:tcPr>
            <w:tcW w:type="dxa" w:w="2340"/>
            <w:shd w:fill="F2F2F2" w:val="clear"/>
          </w:tcPr>
          <w:p>
            <w:r>
              <w:t>$110,833</w:t>
            </w:r>
          </w:p>
        </w:tc>
        <w:tc>
          <w:tcPr>
            <w:tcW w:type="dxa" w:w="2340"/>
            <w:shd w:fill="F2F2F2" w:val="clear"/>
          </w:tcPr>
          <w:p>
            <w:r>
              <w:t>2018-09-01 - 2020-09-30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$100,000</w:t>
            </w:r>
          </w:p>
        </w:tc>
        <w:tc>
          <w:tcPr>
            <w:tcW w:type="dxa" w:w="2340"/>
            <w:shd w:fill="FFFFFF" w:val="clear"/>
          </w:tcPr>
          <w:p>
            <w:r>
              <w:t>2018-10-01 - 2021-10-31</w:t>
            </w:r>
          </w:p>
        </w:tc>
      </w:tr>
      <w:tr>
        <w:tc>
          <w:tcPr>
            <w:tcW w:type="dxa" w:w="2340"/>
            <w:shd w:fill="F2F2F2" w:val="clear"/>
          </w:tcPr>
          <w:p>
            <w:r>
              <w:t>bia_tcr</w:t>
            </w:r>
          </w:p>
        </w:tc>
        <w:tc>
          <w:tcPr>
            <w:tcW w:type="dxa" w:w="2340"/>
            <w:shd w:fill="F2F2F2" w:val="clear"/>
          </w:tcPr>
          <w:p>
            <w:r>
              <w:t>15.156</w:t>
            </w:r>
          </w:p>
        </w:tc>
        <w:tc>
          <w:tcPr>
            <w:tcW w:type="dxa" w:w="2340"/>
            <w:shd w:fill="F2F2F2" w:val="clear"/>
          </w:tcPr>
          <w:p>
            <w:r>
              <w:t>$14,682</w:t>
            </w:r>
          </w:p>
        </w:tc>
        <w:tc>
          <w:tcPr>
            <w:tcW w:type="dxa" w:w="2340"/>
            <w:shd w:fill="F2F2F2" w:val="clear"/>
          </w:tcPr>
          <w:p>
            <w:r>
              <w:t>2018-08-28 - 2019-09-30</w:t>
            </w:r>
          </w:p>
        </w:tc>
      </w:tr>
      <w:tr>
        <w:tc>
          <w:tcPr>
            <w:tcW w:type="dxa" w:w="2340"/>
            <w:shd w:fill="FFFFFF" w:val="clear"/>
          </w:tcPr>
          <w:p>
            <w:r>
              <w:t>bia_tcr</w:t>
            </w:r>
          </w:p>
        </w:tc>
        <w:tc>
          <w:tcPr>
            <w:tcW w:type="dxa" w:w="2340"/>
            <w:shd w:fill="FFFFFF" w:val="clear"/>
          </w:tcPr>
          <w:p>
            <w:r>
              <w:t>15.156</w:t>
            </w:r>
          </w:p>
        </w:tc>
        <w:tc>
          <w:tcPr>
            <w:tcW w:type="dxa" w:w="2340"/>
            <w:shd w:fill="FFFFFF" w:val="clear"/>
          </w:tcPr>
          <w:p>
            <w:r>
              <w:t>$14,652</w:t>
            </w:r>
          </w:p>
        </w:tc>
        <w:tc>
          <w:tcPr>
            <w:tcW w:type="dxa" w:w="2340"/>
            <w:shd w:fill="FFFFFF" w:val="clear"/>
          </w:tcPr>
          <w:p>
            <w:r>
              <w:t>2018-10-01 - 2020-10-31</w:t>
            </w:r>
          </w:p>
        </w:tc>
      </w:tr>
    </w:tbl>
    <w:p>
      <w:pPr>
        <w:pStyle w:val="HSBody"/>
      </w:pPr>
      <w:r>
        <w:rPr>
          <w:b/>
        </w:rPr>
        <w:t>Total: $240,167</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BIA Tribal Climate Resilience funding to Quinault Indian Nation generated an estimated $432,301-$576,401 in regional economic activity (BEA RIMS II methodology, output multiplier range 1.8-2.4x), supporting approximately 2-4 jobs (BLS employment requirements methodology).</w:t>
      </w:r>
    </w:p>
    <w:p>
      <w:pPr>
        <w:pStyle w:val="HSBody"/>
      </w:pPr>
      <w:r>
        <w:t>Hazard Alignment: Quinault Indian Nation's landslide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BIA Tribal Climate Resilience funding to Quinault Indian Nation generated an estimated $432,301-$576,401 in regional economic activity (BEA RIMS II methodology, output multiplier range 1.8-2.4x), supporting approximately 2-4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BIA Tribal Climate Resilience;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Active awards under BIA Tribal Climate Resilience;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BIA Tribal Climate Resilience;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Active awards under BIA Tribal Climate Resilience;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Quinault Indian Nation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Quinault Indian Nation's landslide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fema_bric</w:t>
            </w:r>
          </w:p>
        </w:tc>
        <w:tc>
          <w:tcPr>
            <w:tcW w:type="dxa" w:w="2340"/>
            <w:shd w:fill="F2F2F2" w:val="clear"/>
          </w:tcPr>
          <w:p>
            <w:r>
              <w:t>97.047</w:t>
            </w:r>
          </w:p>
        </w:tc>
        <w:tc>
          <w:tcPr>
            <w:tcW w:type="dxa" w:w="2340"/>
            <w:shd w:fill="F2F2F2" w:val="clear"/>
          </w:tcPr>
          <w:p>
            <w:r>
              <w:t>$1,400,000</w:t>
            </w:r>
          </w:p>
        </w:tc>
        <w:tc>
          <w:tcPr>
            <w:tcW w:type="dxa" w:w="2340"/>
            <w:shd w:fill="F2F2F2" w:val="clear"/>
          </w:tcPr>
          <w:p/>
        </w:tc>
      </w:tr>
      <w:tr>
        <w:tc>
          <w:tcPr>
            <w:tcW w:type="dxa" w:w="2340"/>
            <w:shd w:fill="FFFFFF" w:val="clear"/>
          </w:tcPr>
          <w:p>
            <w:r>
              <w:t>fema_bric</w:t>
            </w:r>
          </w:p>
        </w:tc>
        <w:tc>
          <w:tcPr>
            <w:tcW w:type="dxa" w:w="2340"/>
            <w:shd w:fill="FFFFFF" w:val="clear"/>
          </w:tcPr>
          <w:p>
            <w:r>
              <w:t>97.047</w:t>
            </w:r>
          </w:p>
        </w:tc>
        <w:tc>
          <w:tcPr>
            <w:tcW w:type="dxa" w:w="2340"/>
            <w:shd w:fill="FFFFFF" w:val="clear"/>
          </w:tcPr>
          <w:p>
            <w:r>
              <w:t>$95,738</w:t>
            </w:r>
          </w:p>
        </w:tc>
        <w:tc>
          <w:tcPr>
            <w:tcW w:type="dxa" w:w="2340"/>
            <w:shd w:fill="FFFFFF" w:val="clear"/>
          </w:tcPr>
          <w:p>
            <w:r>
              <w:t>2022-03-08 - 2025-03-07</w:t>
            </w:r>
          </w:p>
        </w:tc>
      </w:tr>
      <w:tr>
        <w:tc>
          <w:tcPr>
            <w:tcW w:type="dxa" w:w="2340"/>
            <w:shd w:fill="F2F2F2" w:val="clear"/>
          </w:tcPr>
          <w:p>
            <w:r>
              <w:t>fema_bric</w:t>
            </w:r>
          </w:p>
        </w:tc>
        <w:tc>
          <w:tcPr>
            <w:tcW w:type="dxa" w:w="2340"/>
            <w:shd w:fill="F2F2F2" w:val="clear"/>
          </w:tcPr>
          <w:p>
            <w:r>
              <w:t>97.047</w:t>
            </w:r>
          </w:p>
        </w:tc>
        <w:tc>
          <w:tcPr>
            <w:tcW w:type="dxa" w:w="2340"/>
            <w:shd w:fill="F2F2F2" w:val="clear"/>
          </w:tcPr>
          <w:p>
            <w:r>
              <w:t>$19,656</w:t>
            </w:r>
          </w:p>
        </w:tc>
        <w:tc>
          <w:tcPr>
            <w:tcW w:type="dxa" w:w="2340"/>
            <w:shd w:fill="F2F2F2" w:val="clear"/>
          </w:tcPr>
          <w:p>
            <w:r>
              <w:t>2021-05-01 - None</w:t>
            </w:r>
          </w:p>
        </w:tc>
      </w:tr>
    </w:tbl>
    <w:p>
      <w:pPr>
        <w:pStyle w:val="HSBody"/>
      </w:pPr>
      <w:r>
        <w:rPr>
          <w:b/>
        </w:rPr>
        <w:t>Total: $1,515,394</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Quinault Indian Nation's landslide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Active awards under FEMA Tribal Mitigation Plans;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Active awards under FEMA Tribal Mitigation Plans;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DOT PROTECT</w:t>
      </w:r>
    </w:p>
    <w:p>
      <w:pPr>
        <w:pStyle w:val="HSSubtitle"/>
      </w:pPr>
      <w:r>
        <w:t>DOT | Tribal Set Aside | Discretionary</w:t>
      </w:r>
    </w:p>
    <w:p>
      <w:pPr>
        <w:pStyle w:val="HSBody"/>
      </w:pPr>
      <w:r>
        <w:rPr>
          <w:rFonts w:ascii="Arial" w:hAnsi="Arial"/>
          <w:color w:val="16A34A"/>
          <w:sz w:val="28"/>
        </w:rPr>
        <w:t xml:space="preserve">● </w:t>
      </w:r>
      <w:r>
        <w:rPr>
          <w:rFonts w:ascii="Arial" w:hAnsi="Arial"/>
          <w:b/>
          <w:color w:val="16A34A"/>
          <w:sz w:val="22"/>
        </w:rPr>
        <w:t>Secure</w:t>
      </w:r>
    </w:p>
    <w:p>
      <w:pPr>
        <w:pStyle w:val="HSBody"/>
      </w:pPr>
      <w:r>
        <w:t>Tribal set-aside (2%) is statutorily protected under IIJA §11405. Not subject to annual appropriations volatility.</w:t>
      </w:r>
    </w:p>
    <w:p>
      <w:pPr>
        <w:pStyle w:val="HSSection"/>
      </w:pPr>
      <w:r>
        <w:t>Program Overview</w:t>
      </w:r>
    </w:p>
    <w:p>
      <w:pPr>
        <w:pStyle w:val="HSBody"/>
      </w:pPr>
      <w:r>
        <w:t>DOT program for resilience improvements to surface transportation. Statutory Tribal set-aside provides durable protection.</w:t>
      </w:r>
    </w:p>
    <w:p>
      <w:pPr>
        <w:pStyle w:val="HSBody"/>
      </w:pPr>
      <w:r>
        <w:t>Federal Home: Department of Transportation</w:t>
      </w:r>
    </w:p>
    <w:p>
      <w:pPr>
        <w:pStyle w:val="HSSection"/>
      </w:pPr>
      <w:r>
        <w:t>Award History</w:t>
      </w:r>
    </w:p>
    <w:p>
      <w:pPr>
        <w:pStyle w:val="HSBody"/>
      </w:pPr>
      <w:r>
        <w:rPr>
          <w:b/>
        </w:rPr>
        <w:t>First-Time Applicant Advantage</w:t>
      </w:r>
    </w:p>
    <w:p>
      <w:pPr>
        <w:pStyle w:val="HSBody"/>
      </w:pPr>
      <w:r>
        <w:t>Quinault Indian Nation has not yet received funding through DOT PROTECT.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DOT PROTECT:</w:t>
      </w:r>
    </w:p>
    <w:p>
      <w:pPr>
        <w:pStyle w:val="HSBody"/>
      </w:pPr>
      <w:r>
        <w:t>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Body"/>
      </w:pPr>
      <w:r>
        <w:t>Hazard Alignment: Quinault Indian Nation's landslide risk profile reinforces the economic case for continued federal investment in DOT PROTECT.</w:t>
      </w:r>
    </w:p>
    <w:p>
      <w:pPr>
        <w:pStyle w:val="HSSection"/>
      </w:pPr>
      <w:r>
        <w:t>Advocacy Position</w:t>
      </w:r>
    </w:p>
    <w:p>
      <w:pPr>
        <w:pStyle w:val="HSBody"/>
      </w:pPr>
      <w:r>
        <w:t>Opportunity: Maintain/expand Tribal set-aside. DOT program for resilience improvements to surface transportation. Statutory Tribal set-aside provides durable protection.</w:t>
      </w:r>
    </w:p>
    <w:p>
      <w:pPr>
        <w:pStyle w:val="HSSection"/>
      </w:pPr>
      <w:r>
        <w:t>Key Ask</w:t>
      </w:r>
    </w:p>
    <w:p>
      <w:pPr>
        <w:pStyle w:val="HSCallout"/>
        <w:shd w:fill="EEF2FF" w:val="clear"/>
      </w:pPr>
      <w:r>
        <w:t>ASK: Maintain/expand Tribal set-aside</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DOT PROTECT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Quinault Indian Nation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Quinault Indian Nation's landslide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Quinault Indian Nation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Quinault Indian Nation's landslide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NOAA Tribal Grants</w:t>
      </w:r>
    </w:p>
    <w:p>
      <w:pPr>
        <w:pStyle w:val="HSSubtitle"/>
      </w:pPr>
      <w:r>
        <w:t>NOAA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NOAA climate programs face potential restructuring. Tribal-specific lines not well-protected in appropriations.</w:t>
      </w:r>
    </w:p>
    <w:p>
      <w:pPr>
        <w:pStyle w:val="HSSection"/>
      </w:pPr>
      <w:r>
        <w:t>Program Overview</w:t>
      </w:r>
    </w:p>
    <w:p>
      <w:pPr>
        <w:pStyle w:val="HSBody"/>
      </w:pPr>
      <w:r>
        <w:t>NOAA programs supporting Tribal climate and coastal resilience.</w:t>
      </w:r>
    </w:p>
    <w:p>
      <w:pPr>
        <w:pStyle w:val="HSBody"/>
      </w:pPr>
      <w:r>
        <w:t>Federal Home: National Oceanic and Atmospheric Administration</w:t>
      </w:r>
    </w:p>
    <w:p>
      <w:pPr>
        <w:pStyle w:val="HSSection"/>
      </w:pPr>
      <w:r>
        <w:t>Award History</w:t>
      </w:r>
    </w:p>
    <w:p>
      <w:pPr>
        <w:pStyle w:val="HSBody"/>
      </w:pPr>
      <w:r>
        <w:rPr>
          <w:b/>
        </w:rPr>
        <w:t>First-Time Applicant Advantage</w:t>
      </w:r>
    </w:p>
    <w:p>
      <w:pPr>
        <w:pStyle w:val="HSBody"/>
      </w:pPr>
      <w:r>
        <w:t>Quinault Indian Nation has not yet received funding through NOAA Tribal Grants.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Based on program averages for NOAA Tribal Grants:</w:t>
      </w:r>
    </w:p>
    <w:p>
      <w:pPr>
        <w:pStyle w:val="HSBody"/>
      </w:pPr>
      <w:r>
        <w:t>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Body"/>
      </w:pPr>
      <w:r>
        <w:t>Hazard Alignment: Quinault Indian Nation's landslide risk profile reinforces the economic case for continued federal investment in NOAA Tribal Grants.</w:t>
      </w:r>
    </w:p>
    <w:p>
      <w:pPr>
        <w:pStyle w:val="HSSection"/>
      </w:pPr>
      <w:r>
        <w:t>Advocacy Position</w:t>
      </w:r>
    </w:p>
    <w:p>
      <w:pPr>
        <w:pStyle w:val="HSBody"/>
      </w:pPr>
      <w:r>
        <w:t>Watch: Protect climate/coastal functions in appropriations. NOAA programs supporting Tribal climate and coastal resilience.</w:t>
      </w:r>
    </w:p>
    <w:p>
      <w:pPr>
        <w:pStyle w:val="HSSection"/>
      </w:pPr>
      <w:r>
        <w:t>Key Ask</w:t>
      </w:r>
    </w:p>
    <w:p>
      <w:pPr>
        <w:pStyle w:val="HSCallout"/>
        <w:shd w:fill="EEF2FF" w:val="clear"/>
      </w:pPr>
      <w:r>
        <w:t>ASK: Protect climate/coastal functions in appropriations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Based on program averages, a successful NOAA Tribal Grants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doe_indian_energy</w:t>
            </w:r>
          </w:p>
        </w:tc>
        <w:tc>
          <w:tcPr>
            <w:tcW w:type="dxa" w:w="2340"/>
            <w:shd w:fill="F2F2F2" w:val="clear"/>
          </w:tcPr>
          <w:p>
            <w:r>
              <w:t>81.087</w:t>
            </w:r>
          </w:p>
        </w:tc>
        <w:tc>
          <w:tcPr>
            <w:tcW w:type="dxa" w:w="2340"/>
            <w:shd w:fill="F2F2F2" w:val="clear"/>
          </w:tcPr>
          <w:p>
            <w:r>
              <w:t>$201,043</w:t>
            </w:r>
          </w:p>
        </w:tc>
        <w:tc>
          <w:tcPr>
            <w:tcW w:type="dxa" w:w="2340"/>
            <w:shd w:fill="F2F2F2" w:val="clear"/>
          </w:tcPr>
          <w:p>
            <w:r>
              <w:t>2021-10-01 - 2026-09-30</w:t>
            </w:r>
          </w:p>
        </w:tc>
      </w:tr>
    </w:tbl>
    <w:p>
      <w:pPr>
        <w:pStyle w:val="HSBody"/>
      </w:pPr>
      <w:r>
        <w:rPr>
          <w:b/>
        </w:rPr>
        <w:t>Total: $201,043</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DOE Indian Energy funding to Quinault Indian Nation generated an estimated $361,877-$482,503 in regional economic activity (BEA RIMS II methodology, output multiplier range 1.8-2.4x), supporting approximately 2-3 jobs (BLS employment requirements methodology).</w:t>
      </w:r>
    </w:p>
    <w:p>
      <w:pPr>
        <w:pStyle w:val="HSBody"/>
      </w:pPr>
      <w:r>
        <w:t>Hazard Alignment: Quinault Indian Nation's landslide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DOE Indian Energy funding to Quinault Indian Nation generated an estimated $361,877-$482,503 in regional economic activity (BEA RIMS II methodology, output multiplier range 1.8-2.4x), supporting approximately 2-3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DOE Indian Energy;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$36,149,824</w:t>
            </w:r>
          </w:p>
        </w:tc>
        <w:tc>
          <w:tcPr>
            <w:tcW w:type="dxa" w:w="2340"/>
            <w:shd w:fill="F2F2F2" w:val="clear"/>
          </w:tcPr>
          <w:p>
            <w:r>
              <w:t>2011-10-18 - 2034-09-30</w:t>
            </w:r>
          </w:p>
        </w:tc>
      </w:tr>
      <w:tr>
        <w:tc>
          <w:tcPr>
            <w:tcW w:type="dxa" w:w="2340"/>
            <w:shd w:fill="FFFFFF" w:val="clear"/>
          </w:tcPr>
          <w:p>
            <w:r>
              <w:t>hud_ihbg</w:t>
            </w:r>
          </w:p>
        </w:tc>
        <w:tc>
          <w:tcPr>
            <w:tcW w:type="dxa" w:w="2340"/>
            <w:shd w:fill="FFFFFF" w:val="clear"/>
          </w:tcPr>
          <w:p>
            <w:r>
              <w:t>14.867</w:t>
            </w:r>
          </w:p>
        </w:tc>
        <w:tc>
          <w:tcPr>
            <w:tcW w:type="dxa" w:w="2340"/>
            <w:shd w:fill="FFFFFF" w:val="clear"/>
          </w:tcPr>
          <w:p>
            <w:r>
              <w:t>$1,366,958</w:t>
            </w:r>
          </w:p>
        </w:tc>
        <w:tc>
          <w:tcPr>
            <w:tcW w:type="dxa" w:w="2340"/>
            <w:shd w:fill="FFFFFF" w:val="clear"/>
          </w:tcPr>
          <w:p>
            <w:r>
              <w:t>2021-04-22 - 2026-09-30</w:t>
            </w:r>
          </w:p>
        </w:tc>
      </w:tr>
    </w:tbl>
    <w:p>
      <w:pPr>
        <w:pStyle w:val="HSBody"/>
      </w:pPr>
      <w:r>
        <w:rPr>
          <w:b/>
        </w:rPr>
        <w:t>Total: $37,516,782</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District Economic Impact</w:t>
      </w:r>
    </w:p>
    <w:p>
      <w:pPr>
        <w:pStyle w:val="HSBody"/>
      </w:pPr>
      <w:r>
        <w:t>HUD IHBG funding to Quinault Indian Nation generated an estimated $67,530,208-$90,040,277 in regional economic activity (BEA RIMS II methodology, output multiplier range 1.8-2.4x), supporting approximately 300-563 jobs (BLS employment requirements methodology).</w:t>
      </w:r>
    </w:p>
    <w:p>
      <w:pPr>
        <w:pStyle w:val="HSBody"/>
      </w:pPr>
      <w:r>
        <w:t>Hazard Alignment: Quinault Indian Nation's landslide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HUD IHBG funding to Quinault Indian Nation generated an estimated $67,530,208-$90,040,277 in regional economic activity (BEA RIMS II methodology, output multiplier range 1.8-2.4x), supporting approximately 300-563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Landslide risk profile</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Quinault Indian Nation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Quinault Indian Nation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Landslide -- Risk Score: 84.1 -- (Very High)</w:t>
      </w:r>
    </w:p>
    <w:p>
      <w:pPr>
        <w:pStyle w:val="HSBody"/>
      </w:pPr>
      <w:r>
        <w:t>Earthquake -- Risk Score: 81.2 -- (Very High)</w:t>
      </w:r>
    </w:p>
    <w:p>
      <w:pPr>
        <w:pStyle w:val="HSBody"/>
      </w:pPr>
      <w:r>
        <w:t>Wildfire -- Risk Score: 71.5 -- (Relatively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Quinault Indian Nation's Landslide, Earthquake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Patty Murray (D-WA)</w:t>
      </w:r>
    </w:p>
    <w:p>
      <w:pPr>
        <w:pStyle w:val="HSBody"/>
      </w:pPr>
      <w:r>
        <w:rPr>
          <w:b/>
        </w:rPr>
        <w:t>Sen. Patty Murray (D-WA) sits on Senate Committee on Appropriations -- direct influence on this program</w:t>
      </w:r>
    </w:p>
    <w:p>
      <w:pPr>
        <w:pStyle w:val="HSBody"/>
      </w:pPr>
      <w:r>
        <w:rPr>
          <w:b/>
        </w:rPr>
        <w:t>Sen. Patty Murray (D-WA) sits on Agriculture, Rural Development, Food and Drug Administration, and Related Agencies -- direct influence on this program</w:t>
      </w:r>
    </w:p>
    <w:p>
      <w:pPr>
        <w:pStyle w:val="HSBody"/>
      </w:pPr>
      <w:r>
        <w:rPr>
          <w:b/>
        </w:rPr>
        <w:t>Sen. Patty Murray (D-WA) sits on Commerce, Justice, Science, and Related Agencies -- direct influence on this program</w:t>
      </w:r>
    </w:p>
    <w:p>
      <w:pPr>
        <w:pStyle w:val="HSBody"/>
      </w:pPr>
      <w:r>
        <w:rPr>
          <w:b/>
        </w:rPr>
        <w:t>Sen. Patty Murray (D-WA) sits on Energy and Water Development -- direct influence on this program</w:t>
      </w:r>
    </w:p>
    <w:p>
      <w:pPr>
        <w:pStyle w:val="HSBody"/>
      </w:pPr>
      <w:r>
        <w:rPr>
          <w:b/>
        </w:rPr>
        <w:t>Sen. Patty Murray (D-WA) sits on Department of Interior, Environment, and Related Agencies -- direct influence on this program</w:t>
      </w:r>
    </w:p>
    <w:p>
      <w:pPr>
        <w:pStyle w:val="HSBody"/>
      </w:pPr>
      <w:r>
        <w:rPr>
          <w:b/>
        </w:rPr>
        <w:t>Sen. Patty Murray (D-WA) sits on Transportation, Housing and Urban Development, and Related Agencies -- direct influence on this program</w:t>
      </w:r>
    </w:p>
    <w:p>
      <w:pPr>
        <w:pStyle w:val="HSBody"/>
      </w:pPr>
      <w:r>
        <w:t>Sen. Maria Cantwell (D-WA)</w:t>
      </w:r>
    </w:p>
    <w:p>
      <w:pPr>
        <w:pStyle w:val="HSBody"/>
      </w:pPr>
      <w:r>
        <w:rPr>
          <w:b/>
        </w:rPr>
        <w:t>Sen. Maria Cantwell (D-WA) sits on Senate Committee on Commerce, Science, and Transportation -- direct influence on this program</w:t>
      </w:r>
    </w:p>
    <w:p>
      <w:pPr>
        <w:pStyle w:val="HSBody"/>
      </w:pPr>
      <w:r>
        <w:rPr>
          <w:b/>
        </w:rPr>
        <w:t>Sen. Maria Cantwell (D-WA) sits on Surface Transportation, Freight, Pipelines, and Safety -- direct influence on this program</w:t>
      </w:r>
    </w:p>
    <w:p>
      <w:pPr>
        <w:pStyle w:val="HSBody"/>
      </w:pPr>
      <w:r>
        <w:rPr>
          <w:b/>
        </w:rPr>
        <w:t>Sen. Maria Cantwell (D-WA) sits on Senate Committee on Energy and Natural Resources -- direct influence on this program</w:t>
      </w:r>
    </w:p>
    <w:p>
      <w:pPr>
        <w:pStyle w:val="HSBody"/>
      </w:pPr>
      <w:r>
        <w:rPr>
          <w:b/>
        </w:rPr>
        <w:t>Sen. Maria Cantwell (D-WA) sits on Senate Committee on Indian Affairs -- direct influence on this program</w:t>
      </w:r>
    </w:p>
    <w:p>
      <w:pPr>
        <w:pStyle w:val="HSBody"/>
      </w:pPr>
      <w:r>
        <w:t>Rep. Emily Randall (D-WA-06)</w:t>
      </w:r>
    </w:p>
    <w:p>
      <w:pPr>
        <w:pStyle w:val="HSBody"/>
      </w:pPr>
      <w:r>
        <w:rPr>
          <w:b/>
        </w:rPr>
        <w:t>Rep. Emily Randall (D-WA-06) sits on House Committee on Natural Resources -- direct influence on this program</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High (Score: 70.0)</w:t>
      </w:r>
    </w:p>
    <w:p>
      <w:pPr>
        <w:pStyle w:val="HSBody"/>
      </w:pPr>
      <w:r>
        <w:t>Social Vulnerability: Relatively Moderate (Score: 46.4)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Landslide</w:t>
            </w:r>
          </w:p>
        </w:tc>
        <w:tc>
          <w:tcPr>
            <w:tcW w:type="dxa" w:w="2340"/>
            <w:shd w:fill="F2F2F2" w:val="clear"/>
          </w:tcPr>
          <w:p>
            <w:r>
              <w:t>84.1</w:t>
            </w:r>
          </w:p>
        </w:tc>
        <w:tc>
          <w:tcPr>
            <w:tcW w:type="dxa" w:w="2340"/>
            <w:shd w:fill="F2F2F2" w:val="clear"/>
          </w:tcPr>
          <w:p>
            <w:r>
              <w:t>Very High</w:t>
            </w:r>
          </w:p>
        </w:tc>
        <w:tc>
          <w:tcPr>
            <w:tcW w:type="dxa" w:w="2340"/>
            <w:shd w:fill="F2F2F2" w:val="clear"/>
          </w:tcPr>
          <w:p>
            <w:r>
              <w:t>$1,021,694</w:t>
            </w:r>
          </w:p>
        </w:tc>
      </w:tr>
      <w:tr>
        <w:tc>
          <w:tcPr>
            <w:tcW w:type="dxa" w:w="2340"/>
            <w:shd w:fill="FFFFFF" w:val="clear"/>
          </w:tcPr>
          <w:p>
            <w:r>
              <w:t>Earthquake</w:t>
            </w:r>
          </w:p>
        </w:tc>
        <w:tc>
          <w:tcPr>
            <w:tcW w:type="dxa" w:w="2340"/>
            <w:shd w:fill="FFFFFF" w:val="clear"/>
          </w:tcPr>
          <w:p>
            <w:r>
              <w:t>81.2</w:t>
            </w:r>
          </w:p>
        </w:tc>
        <w:tc>
          <w:tcPr>
            <w:tcW w:type="dxa" w:w="2340"/>
            <w:shd w:fill="FFFFFF" w:val="clear"/>
          </w:tcPr>
          <w:p>
            <w:r>
              <w:t>Very High</w:t>
            </w:r>
          </w:p>
        </w:tc>
        <w:tc>
          <w:tcPr>
            <w:tcW w:type="dxa" w:w="2340"/>
            <w:shd w:fill="FFFFFF" w:val="clear"/>
          </w:tcPr>
          <w:p>
            <w:r>
              <w:t>$64,783,696</w:t>
            </w:r>
          </w:p>
        </w:tc>
      </w:tr>
      <w:tr>
        <w:tc>
          <w:tcPr>
            <w:tcW w:type="dxa" w:w="2340"/>
            <w:shd w:fill="F2F2F2" w:val="clear"/>
          </w:tcPr>
          <w:p>
            <w:r>
              <w:t>Wildfire</w:t>
            </w:r>
          </w:p>
        </w:tc>
        <w:tc>
          <w:tcPr>
            <w:tcW w:type="dxa" w:w="2340"/>
            <w:shd w:fill="F2F2F2" w:val="clear"/>
          </w:tcPr>
          <w:p>
            <w:r>
              <w:t>71.5</w:t>
            </w:r>
          </w:p>
        </w:tc>
        <w:tc>
          <w:tcPr>
            <w:tcW w:type="dxa" w:w="2340"/>
            <w:shd w:fill="F2F2F2" w:val="clear"/>
          </w:tcPr>
          <w:p>
            <w:r>
              <w:t>Relatively High</w:t>
            </w:r>
          </w:p>
        </w:tc>
        <w:tc>
          <w:tcPr>
            <w:tcW w:type="dxa" w:w="2340"/>
            <w:shd w:fill="F2F2F2" w:val="clear"/>
          </w:tcPr>
          <w:p>
            <w:r>
              <w:t>$4,438,608</w:t>
            </w:r>
          </w:p>
        </w:tc>
      </w:tr>
      <w:tr>
        <w:tc>
          <w:tcPr>
            <w:tcW w:type="dxa" w:w="2340"/>
            <w:shd w:fill="FFFFFF" w:val="clear"/>
          </w:tcPr>
          <w:p>
            <w:r>
              <w:t>Inland Flooding</w:t>
            </w:r>
          </w:p>
        </w:tc>
        <w:tc>
          <w:tcPr>
            <w:tcW w:type="dxa" w:w="2340"/>
            <w:shd w:fill="FFFFFF" w:val="clear"/>
          </w:tcPr>
          <w:p>
            <w:r>
              <w:t>70.0</w:t>
            </w:r>
          </w:p>
        </w:tc>
        <w:tc>
          <w:tcPr>
            <w:tcW w:type="dxa" w:w="2340"/>
            <w:shd w:fill="FFFFFF" w:val="clear"/>
          </w:tcPr>
          <w:p>
            <w:r>
              <w:t>Relatively High</w:t>
            </w:r>
          </w:p>
        </w:tc>
        <w:tc>
          <w:tcPr>
            <w:tcW w:type="dxa" w:w="2340"/>
            <w:shd w:fill="FFFFFF" w:val="clear"/>
          </w:tcPr>
          <w:p>
            <w:r>
              <w:t>$34,905,372</w:t>
            </w:r>
          </w:p>
        </w:tc>
      </w:tr>
      <w:tr>
        <w:tc>
          <w:tcPr>
            <w:tcW w:type="dxa" w:w="2340"/>
            <w:shd w:fill="F2F2F2" w:val="clear"/>
          </w:tcPr>
          <w:p>
            <w:r>
              <w:t>Heat Wave</w:t>
            </w:r>
          </w:p>
        </w:tc>
        <w:tc>
          <w:tcPr>
            <w:tcW w:type="dxa" w:w="2340"/>
            <w:shd w:fill="F2F2F2" w:val="clear"/>
          </w:tcPr>
          <w:p>
            <w:r>
              <w:t>63.9</w:t>
            </w:r>
          </w:p>
        </w:tc>
        <w:tc>
          <w:tcPr>
            <w:tcW w:type="dxa" w:w="2340"/>
            <w:shd w:fill="F2F2F2" w:val="clear"/>
          </w:tcPr>
          <w:p>
            <w:r>
              <w:t>Relatively High</w:t>
            </w:r>
          </w:p>
        </w:tc>
        <w:tc>
          <w:tcPr>
            <w:tcW w:type="dxa" w:w="2340"/>
            <w:shd w:fill="F2F2F2" w:val="clear"/>
          </w:tcPr>
          <w:p>
            <w:r>
              <w:t>$2,550,619</w:t>
            </w:r>
          </w:p>
        </w:tc>
      </w:tr>
    </w:tbl>
    <w:p>
      <w:pPr>
        <w:pStyle w:val="HSSection"/>
      </w:pPr>
      <w:r>
        <w:t>Hazard-to-Program Alignment</w:t>
      </w:r>
    </w:p>
    <w:p>
      <w:pPr>
        <w:pStyle w:val="HSBody"/>
      </w:pPr>
      <w:r>
        <w:t>Quinault Indian Nation's top hazard exposures (Landslide, Earthquake,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Quinault Indian Nation.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Landslide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Active awards in affected programs; Landslide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Active awards in affected programs; Landslide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Active awards in affected programs; Landslide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Active awards in affected programs; Landslide risk profile</w:t>
      </w:r>
    </w:p>
    <w:p>
      <w:r>
        <w:br w:type="page"/>
      </w:r>
    </w:p>
    <w:p>
      <w:pPr>
        <w:pStyle w:val="Heading2"/>
      </w:pPr>
      <w:r>
        <w:t>Messaging Framework</w:t>
      </w:r>
    </w:p>
    <w:p>
      <w:pPr>
        <w:pStyle w:val="HSBody"/>
      </w:pPr>
      <w:r>
        <w:t>Audience-calibrated talking points for Quinault Indian Nation's advocacy engagements during the current congressional session.</w:t>
      </w:r>
    </w:p>
    <w:p>
      <w:pPr>
        <w:pStyle w:val="HSSection"/>
      </w:pPr>
      <w:r>
        <w:t>Core Message</w:t>
      </w:r>
    </w:p>
    <w:p>
      <w:pPr>
        <w:pStyle w:val="HSBody"/>
      </w:pPr>
      <w:r>
        <w:t>Quinault Indian Nation faces significant landslide risk. Congress has funded programs that address this risk, but administrative delivery gaps and structural barriers prevent these resources from reaching Tribal communities in WA.</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Quinault Indian Nation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p>
      <w:pPr>
        <w:pStyle w:val="HSBody"/>
      </w:pPr>
      <w:r>
        <w:rPr>
          <w:b/>
        </w:rPr>
        <w:t>USBR WaterSMART</w:t>
      </w:r>
      <w:r>
        <w:t xml:space="preserve">  [Uncertain]</w:t>
      </w:r>
    </w:p>
    <w:p>
      <w:pPr>
        <w:pStyle w:val="HSBody"/>
      </w:pPr>
      <w:r>
        <w:t>Bureau of Reclamation WaterSMART grants for water conservation and drought resilience.</w:t>
      </w:r>
    </w:p>
    <w:p>
      <w:pPr>
        <w:pStyle w:val="HSSmall"/>
      </w:pPr>
      <w:r>
        <w:t>Access: Competitive | Funding: Discretionary</w:t>
      </w:r>
    </w:p>
    <w:p>
      <w:pPr>
        <w:pStyle w:val="HSSmall"/>
      </w:pPr>
      <w:r>
        <w:t>Learn more: Contact your program specialist or visit Reclamation for current application information.</w:t>
      </w:r>
    </w:p>
    <w:p>
      <w:pPr>
        <w:pStyle w:val="HSBody"/>
      </w:pPr>
      <w:r>
        <w:rPr>
          <w:b/>
        </w:rPr>
        <w:t>USBR TAP</w:t>
      </w:r>
      <w:r>
        <w:t xml:space="preserve">  [Stable]</w:t>
      </w:r>
    </w:p>
    <w:p>
      <w:pPr>
        <w:pStyle w:val="HSBody"/>
      </w:pPr>
      <w:r>
        <w:t>Bureau of Reclamation Technical Assistance Program.</w:t>
      </w:r>
    </w:p>
    <w:p>
      <w:pPr>
        <w:pStyle w:val="HSSmall"/>
      </w:pPr>
      <w:r>
        <w:t>Access: Direct | Funding: Discretionary</w:t>
      </w:r>
    </w:p>
    <w:p>
      <w:pPr>
        <w:pStyle w:val="HSSmall"/>
      </w:pPr>
      <w:r>
        <w:t>Learn more: Contact your program specialist or visit Reclamation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Quinault Indian Nation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