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Standing Rock Sioux Tribe of North &amp; South Dakota</w:t>
      </w:r>
    </w:p>
    <w:p>
      <w:pPr>
        <w:pStyle w:val="HSBody"/>
      </w:pPr>
      <w:r>
        <w:t>Prepared for the offices of: 4 Senators, 2 Representatives</w:t>
      </w:r>
    </w:p>
    <w:p>
      <w:pPr>
        <w:pStyle w:val="HSBody"/>
      </w:pPr>
      <w:r>
        <w:t>State(s): ND,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Standing Rock Sioux Tribe of North &amp; South Dakota's climate risk profile and geographic context.</w:t>
      </w:r>
    </w:p>
    <w:p>
      <w:r>
        <w:br w:type="page"/>
      </w:r>
    </w:p>
    <w:p>
      <w:pPr>
        <w:pStyle w:val="Heading2"/>
      </w:pPr>
      <w:r>
        <w:t>Executive Summary</w:t>
      </w:r>
    </w:p>
    <w:p>
      <w:pPr>
        <w:pStyle w:val="HSTitle"/>
      </w:pPr>
      <w:r>
        <w:t>Standing Rock Sioux Tribe of North &amp; South Dakota -- ND, SD</w:t>
      </w:r>
    </w:p>
    <w:p>
      <w:pPr>
        <w:pStyle w:val="HSBody"/>
      </w:pPr>
      <w:r>
        <w:t>This strategy document outlines Standing Rock Sioux Tribe of North &amp; South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$114,008,364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Julie Fedorchak (R-ND-AL)</w:t>
            </w:r>
          </w:p>
        </w:tc>
        <w:tc>
          <w:tcPr>
            <w:tcW w:type="dxa" w:w="1872"/>
            <w:shd w:fill="FFFFFF" w:val="clear"/>
          </w:tcPr>
          <w:p>
            <w:r>
              <w:t>Representative</w:t>
            </w:r>
          </w:p>
        </w:tc>
        <w:tc>
          <w:tcPr>
            <w:tcW w:type="dxa" w:w="1872"/>
            <w:shd w:fill="FFFFFF" w:val="clear"/>
          </w:tcPr>
          <w:p>
            <w:r>
              <w:t>ND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FEMA BRIC.</w:t>
      </w:r>
    </w:p>
    <w:p>
      <w:pPr>
        <w:pStyle w:val="HSBody"/>
      </w:pPr>
      <w:r>
        <w:t>Per-District Impact Allocation:</w:t>
      </w:r>
    </w:p>
    <w:p>
      <w:pPr>
        <w:pStyle w:val="HSBody"/>
      </w:pPr>
      <w:r>
        <w:t xml:space="preserve">  SD-AL (69% overlap): $623,700 - $831,600</w:t>
      </w:r>
    </w:p>
    <w:p>
      <w:pPr>
        <w:pStyle w:val="HSBody"/>
      </w:pPr>
      <w:r>
        <w:t xml:space="preserve">  ND-AL (31% overlap): $276,300 - $368,400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BIA Tribal Climate Resilience.</w:t>
      </w:r>
    </w:p>
    <w:p>
      <w:pPr>
        <w:pStyle w:val="HSBody"/>
      </w:pPr>
      <w:r>
        <w:t>Per-District Impact Allocation:</w:t>
      </w:r>
    </w:p>
    <w:p>
      <w:pPr>
        <w:pStyle w:val="HSBody"/>
      </w:pPr>
      <w:r>
        <w:t xml:space="preserve">  SD-AL (69% overlap): $187,110 - $249,480</w:t>
      </w:r>
    </w:p>
    <w:p>
      <w:pPr>
        <w:pStyle w:val="HSBody"/>
      </w:pPr>
      <w:r>
        <w:t xml:space="preserve">  ND-AL (31% overlap): $82,890 - $110,520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IRS Elective Pay.</w:t>
      </w:r>
    </w:p>
    <w:p>
      <w:pPr>
        <w:pStyle w:val="HSBody"/>
      </w:pPr>
      <w:r>
        <w:t>Per-District Impact Allocation:</w:t>
      </w:r>
    </w:p>
    <w:p>
      <w:pPr>
        <w:pStyle w:val="HSBody"/>
      </w:pPr>
      <w:r>
        <w:t xml:space="preserve">  SD-AL (69% overlap): $249,480 - $332,640</w:t>
      </w:r>
    </w:p>
    <w:p>
      <w:pPr>
        <w:pStyle w:val="HSBody"/>
      </w:pPr>
      <w:r>
        <w:t xml:space="preserve">  ND-AL (31% overlap): $110,520 - $147,360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$91,132,335</w:t>
            </w:r>
          </w:p>
        </w:tc>
        <w:tc>
          <w:tcPr>
            <w:tcW w:type="dxa" w:w="2340"/>
            <w:shd w:fill="F2F2F2" w:val="clear"/>
          </w:tcPr>
          <w:p>
            <w:r>
              <w:t>2012-04-30 - 2034-09-30</w:t>
            </w:r>
          </w:p>
        </w:tc>
      </w:tr>
    </w:tbl>
    <w:p>
      <w:pPr>
        <w:pStyle w:val="HSBody"/>
      </w:pPr>
      <w:r>
        <w:rPr>
          <w:b/>
        </w:rPr>
        <w:t>Total: $91,132,335</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HUD IHBG funding to Standing Rock Sioux Tribe of North &amp; South Dakota generated an estimated $164,038,203-$218,717,604 in regional economic activity (BEA RIMS II methodology, output multiplier range 1.8-2.4x), supporting approximately 729-1367 jobs (BLS employment requirements methodology).</w:t>
      </w:r>
    </w:p>
    <w:p>
      <w:pPr>
        <w:pStyle w:val="HSBody"/>
      </w:pPr>
      <w:r>
        <w:t>Hazard Alignment: Standing Rock Sioux Tribe of North &amp; South Dakota's winter weather risk profile reinforces the economic case for continued federal investment in HUD IHBG.</w:t>
      </w:r>
    </w:p>
    <w:p>
      <w:pPr>
        <w:pStyle w:val="HSBody"/>
      </w:pPr>
      <w:r>
        <w:t>Per-District Impact Allocation:</w:t>
      </w:r>
    </w:p>
    <w:p>
      <w:pPr>
        <w:pStyle w:val="HSBody"/>
      </w:pPr>
      <w:r>
        <w:t xml:space="preserve">  SD-AL (69% overlap): $113,678,475 - $151,571,300</w:t>
      </w:r>
    </w:p>
    <w:p>
      <w:pPr>
        <w:pStyle w:val="HSBody"/>
      </w:pPr>
      <w:r>
        <w:t xml:space="preserve">  ND-AL (31% overlap): $50,359,728 - $67,146,304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HUD IHBG funding to Standing Rock Sioux Tribe of North &amp; South Dakota generated an estimated $164,038,203-$218,717,604 in regional economic activity (BEA RIMS II methodology, output multiplier range 1.8-2.4x), supporting approximately 729-1367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FEMA Tribal Mitigation Plans.</w:t>
      </w:r>
    </w:p>
    <w:p>
      <w:pPr>
        <w:pStyle w:val="HSBody"/>
      </w:pPr>
      <w:r>
        <w:t>Per-District Impact Allocation:</w:t>
      </w:r>
    </w:p>
    <w:p>
      <w:pPr>
        <w:pStyle w:val="HSBody"/>
      </w:pPr>
      <w:r>
        <w:t xml:space="preserve">  SD-AL (69% overlap): $374,220 - $498,960</w:t>
      </w:r>
    </w:p>
    <w:p>
      <w:pPr>
        <w:pStyle w:val="HSBody"/>
      </w:pPr>
      <w:r>
        <w:t xml:space="preserve">  ND-AL (31% overlap): $165,780 - $221,040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USDA Wildfire Defense Grants.</w:t>
      </w:r>
    </w:p>
    <w:p>
      <w:pPr>
        <w:pStyle w:val="HSBody"/>
      </w:pPr>
      <w:r>
        <w:t>Per-District Impact Allocation:</w:t>
      </w:r>
    </w:p>
    <w:p>
      <w:pPr>
        <w:pStyle w:val="HSBody"/>
      </w:pPr>
      <w:r>
        <w:t xml:space="preserve">  SD-AL (69% overlap): $436,590 - $582,120</w:t>
      </w:r>
    </w:p>
    <w:p>
      <w:pPr>
        <w:pStyle w:val="HSBody"/>
      </w:pPr>
      <w:r>
        <w:t xml:space="preserve">  ND-AL (31% overlap): $193,410 - $257,880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DOT PROTECT.</w:t>
      </w:r>
    </w:p>
    <w:p>
      <w:pPr>
        <w:pStyle w:val="HSBody"/>
      </w:pPr>
      <w:r>
        <w:t>Per-District Impact Allocation:</w:t>
      </w:r>
    </w:p>
    <w:p>
      <w:pPr>
        <w:pStyle w:val="HSBody"/>
      </w:pPr>
      <w:r>
        <w:t xml:space="preserve">  SD-AL (69% overlap): $311,850 - $415,800</w:t>
      </w:r>
    </w:p>
    <w:p>
      <w:pPr>
        <w:pStyle w:val="HSBody"/>
      </w:pPr>
      <w:r>
        <w:t xml:space="preserve">  ND-AL (31% overlap): $138,150 - $184,200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2024-01-01 - 2026-12-31</w:t>
            </w:r>
          </w:p>
        </w:tc>
      </w:tr>
    </w:tbl>
    <w:p>
      <w:pPr>
        <w:pStyle w:val="HSBody"/>
      </w:pPr>
      <w:r>
        <w:rPr>
          <w:b/>
        </w:rPr>
        <w:t>Total: $4,000,000</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DOE Indian Energy funding to Standing Rock Sioux Tribe of North &amp; South Dakota generated an estimated $7,200,000-$9,600,000 in regional economic activity (BEA RIMS II methodology, output multiplier range 1.8-2.4x), supporting approximately 32-60 jobs (BLS employment requirements methodology).</w:t>
      </w:r>
    </w:p>
    <w:p>
      <w:pPr>
        <w:pStyle w:val="HSBody"/>
      </w:pPr>
      <w:r>
        <w:t>Hazard Alignment: Standing Rock Sioux Tribe of North &amp; South Dakota's winter weather risk profile reinforces the economic case for continued federal investment in DOE Indian Energy.</w:t>
      </w:r>
    </w:p>
    <w:p>
      <w:pPr>
        <w:pStyle w:val="HSBody"/>
      </w:pPr>
      <w:r>
        <w:t>Per-District Impact Allocation:</w:t>
      </w:r>
    </w:p>
    <w:p>
      <w:pPr>
        <w:pStyle w:val="HSBody"/>
      </w:pPr>
      <w:r>
        <w:t xml:space="preserve">  SD-AL (69% overlap): $4,989,600 - $6,652,800</w:t>
      </w:r>
    </w:p>
    <w:p>
      <w:pPr>
        <w:pStyle w:val="HSBody"/>
      </w:pPr>
      <w:r>
        <w:t xml:space="preserve">  ND-AL (31% overlap): $2,210,400 - $2,947,200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DOE Indian Energy funding to Standing Rock Sioux Tribe of North &amp; South Dakota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EPA GAP.</w:t>
      </w:r>
    </w:p>
    <w:p>
      <w:pPr>
        <w:pStyle w:val="HSBody"/>
      </w:pPr>
      <w:r>
        <w:t>Per-District Impact Allocation:</w:t>
      </w:r>
    </w:p>
    <w:p>
      <w:pPr>
        <w:pStyle w:val="HSBody"/>
      </w:pPr>
      <w:r>
        <w:t xml:space="preserve">  SD-AL (69% overlap): $93,555 - $124,740</w:t>
      </w:r>
    </w:p>
    <w:p>
      <w:pPr>
        <w:pStyle w:val="HSBody"/>
      </w:pPr>
      <w:r>
        <w:t xml:space="preserve">  ND-AL (31% overlap): $41,445 - $55,260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Standing Rock Sioux Tribe of North &amp; South Dakota's winter weather risk profile reinforces the economic case for continued federal investment in EPA STAG.</w:t>
      </w:r>
    </w:p>
    <w:p>
      <w:pPr>
        <w:pStyle w:val="HSBody"/>
      </w:pPr>
      <w:r>
        <w:t>Per-District Impact Allocation:</w:t>
      </w:r>
    </w:p>
    <w:p>
      <w:pPr>
        <w:pStyle w:val="HSBody"/>
      </w:pPr>
      <w:r>
        <w:t xml:space="preserve">  SD-AL (69% overlap): $124,740 - $166,320</w:t>
      </w:r>
    </w:p>
    <w:p>
      <w:pPr>
        <w:pStyle w:val="HSBody"/>
      </w:pPr>
      <w:r>
        <w:t xml:space="preserve">  ND-AL (31% overlap): $55,260 - $73,680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Standing Rock Sioux Tribe of North &amp;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Standing Rock Sioux Tribe of North &amp;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24.8)</w:t>
      </w:r>
    </w:p>
    <w:p>
      <w:pPr>
        <w:pStyle w:val="HSBody"/>
      </w:pPr>
      <w:r>
        <w:t>Social Vulnerability: Relatively Low (Score: 37.2)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71.7</w:t>
            </w:r>
          </w:p>
        </w:tc>
        <w:tc>
          <w:tcPr>
            <w:tcW w:type="dxa" w:w="2340"/>
            <w:shd w:fill="F2F2F2" w:val="clear"/>
          </w:tcPr>
          <w:p>
            <w:r>
              <w:t>Relatively High</w:t>
            </w:r>
          </w:p>
        </w:tc>
        <w:tc>
          <w:tcPr>
            <w:tcW w:type="dxa" w:w="2340"/>
            <w:shd w:fill="F2F2F2" w:val="clear"/>
          </w:tcPr>
          <w:p>
            <w:r>
              <w:t>$349,243</w:t>
            </w:r>
          </w:p>
        </w:tc>
      </w:tr>
      <w:tr>
        <w:tc>
          <w:tcPr>
            <w:tcW w:type="dxa" w:w="2340"/>
            <w:shd w:fill="FFFFFF" w:val="clear"/>
          </w:tcPr>
          <w:p>
            <w:r>
              <w:t>Wildfire</w:t>
            </w:r>
          </w:p>
        </w:tc>
        <w:tc>
          <w:tcPr>
            <w:tcW w:type="dxa" w:w="2340"/>
            <w:shd w:fill="FFFFFF" w:val="clear"/>
          </w:tcPr>
          <w:p>
            <w:r>
              <w:t>67.2</w:t>
            </w:r>
          </w:p>
        </w:tc>
        <w:tc>
          <w:tcPr>
            <w:tcW w:type="dxa" w:w="2340"/>
            <w:shd w:fill="FFFFFF" w:val="clear"/>
          </w:tcPr>
          <w:p>
            <w:r>
              <w:t>Relatively High</w:t>
            </w:r>
          </w:p>
        </w:tc>
        <w:tc>
          <w:tcPr>
            <w:tcW w:type="dxa" w:w="2340"/>
            <w:shd w:fill="FFFFFF" w:val="clear"/>
          </w:tcPr>
          <w:p>
            <w:r>
              <w:t>$482,106</w:t>
            </w:r>
          </w:p>
        </w:tc>
      </w:tr>
      <w:tr>
        <w:tc>
          <w:tcPr>
            <w:tcW w:type="dxa" w:w="2340"/>
            <w:shd w:fill="F2F2F2" w:val="clear"/>
          </w:tcPr>
          <w:p>
            <w:r>
              <w:t>Cold Wave</w:t>
            </w:r>
          </w:p>
        </w:tc>
        <w:tc>
          <w:tcPr>
            <w:tcW w:type="dxa" w:w="2340"/>
            <w:shd w:fill="F2F2F2" w:val="clear"/>
          </w:tcPr>
          <w:p>
            <w:r>
              <w:t>64.4</w:t>
            </w:r>
          </w:p>
        </w:tc>
        <w:tc>
          <w:tcPr>
            <w:tcW w:type="dxa" w:w="2340"/>
            <w:shd w:fill="F2F2F2" w:val="clear"/>
          </w:tcPr>
          <w:p>
            <w:r>
              <w:t>Relatively High</w:t>
            </w:r>
          </w:p>
        </w:tc>
        <w:tc>
          <w:tcPr>
            <w:tcW w:type="dxa" w:w="2340"/>
            <w:shd w:fill="F2F2F2" w:val="clear"/>
          </w:tcPr>
          <w:p>
            <w:r>
              <w:t>$3,167,573</w:t>
            </w:r>
          </w:p>
        </w:tc>
      </w:tr>
      <w:tr>
        <w:tc>
          <w:tcPr>
            <w:tcW w:type="dxa" w:w="2340"/>
            <w:shd w:fill="FFFFFF" w:val="clear"/>
          </w:tcPr>
          <w:p>
            <w:r>
              <w:t>Hail</w:t>
            </w:r>
          </w:p>
        </w:tc>
        <w:tc>
          <w:tcPr>
            <w:tcW w:type="dxa" w:w="2340"/>
            <w:shd w:fill="FFFFFF" w:val="clear"/>
          </w:tcPr>
          <w:p>
            <w:r>
              <w:t>61.3</w:t>
            </w:r>
          </w:p>
        </w:tc>
        <w:tc>
          <w:tcPr>
            <w:tcW w:type="dxa" w:w="2340"/>
            <w:shd w:fill="FFFFFF" w:val="clear"/>
          </w:tcPr>
          <w:p>
            <w:r>
              <w:t>Relatively High</w:t>
            </w:r>
          </w:p>
        </w:tc>
        <w:tc>
          <w:tcPr>
            <w:tcW w:type="dxa" w:w="2340"/>
            <w:shd w:fill="FFFFFF" w:val="clear"/>
          </w:tcPr>
          <w:p>
            <w:r>
              <w:t>$826,356</w:t>
            </w:r>
          </w:p>
        </w:tc>
      </w:tr>
      <w:tr>
        <w:tc>
          <w:tcPr>
            <w:tcW w:type="dxa" w:w="2340"/>
            <w:shd w:fill="F2F2F2" w:val="clear"/>
          </w:tcPr>
          <w:p>
            <w:r>
              <w:t>Ice Storm</w:t>
            </w:r>
          </w:p>
        </w:tc>
        <w:tc>
          <w:tcPr>
            <w:tcW w:type="dxa" w:w="2340"/>
            <w:shd w:fill="F2F2F2" w:val="clear"/>
          </w:tcPr>
          <w:p>
            <w:r>
              <w:t>59.5</w:t>
            </w:r>
          </w:p>
        </w:tc>
        <w:tc>
          <w:tcPr>
            <w:tcW w:type="dxa" w:w="2340"/>
            <w:shd w:fill="F2F2F2" w:val="clear"/>
          </w:tcPr>
          <w:p>
            <w:r>
              <w:t>Relatively Moderate</w:t>
            </w:r>
          </w:p>
        </w:tc>
        <w:tc>
          <w:tcPr>
            <w:tcW w:type="dxa" w:w="2340"/>
            <w:shd w:fill="F2F2F2" w:val="clear"/>
          </w:tcPr>
          <w:p>
            <w:r>
              <w:t>$343,257</w:t>
            </w:r>
          </w:p>
        </w:tc>
      </w:tr>
    </w:tbl>
    <w:p>
      <w:pPr>
        <w:pStyle w:val="HSSection"/>
      </w:pPr>
      <w:r>
        <w:t>Hazard-to-Program Alignment</w:t>
      </w:r>
    </w:p>
    <w:p>
      <w:pPr>
        <w:pStyle w:val="HSBody"/>
      </w:pPr>
      <w:r>
        <w:t>Standing Rock Sioux Tribe of North &amp; South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Standing Rock Sioux Tribe of North &amp;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Standing Rock Sioux Tribe of North &amp; South Dakota's advocacy engagements during the current congressional session.</w:t>
      </w:r>
    </w:p>
    <w:p>
      <w:pPr>
        <w:pStyle w:val="HSSection"/>
      </w:pPr>
      <w:r>
        <w:t>Core Message</w:t>
      </w:r>
    </w:p>
    <w:p>
      <w:pPr>
        <w:pStyle w:val="HSBody"/>
      </w:pPr>
      <w:r>
        <w:t>Standing Rock Sioux Tribe of North &amp; South Dakota faces significant winter weather risk. Congress has funded programs that address this risk, but administrative delivery gaps and structural barriers prevent these resources from reaching Tribal communities in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Standing Rock Sioux Tribe of North &amp;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Standing Rock Sioux Tribe of North &amp;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