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Curyung Tribal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Curyung Tribal Council's climate risk profile and geographic context.</w:t>
      </w:r>
    </w:p>
    <w:p>
      <w:r>
        <w:br w:type="page"/>
      </w:r>
    </w:p>
    <w:p>
      <w:pPr>
        <w:pStyle w:val="Heading2"/>
      </w:pPr>
      <w:r>
        <w:t>Executive Summary</w:t>
      </w:r>
    </w:p>
    <w:p>
      <w:pPr>
        <w:pStyle w:val="HSTitle"/>
      </w:pPr>
      <w:r>
        <w:t>Curyung Tribal Council -- AK</w:t>
      </w:r>
    </w:p>
    <w:p>
      <w:pPr>
        <w:pStyle w:val="HSBody"/>
      </w:pPr>
      <w:r>
        <w:t>This strategy document outlines Curyung Tribal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$653,000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Curyung Tribal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Curyung Tribal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Curyung Tribal Council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Curyung Tribal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Curyung Tribal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Curyung Tribal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Curyung Tribal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Curyung Tribal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Curyung Tribal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Curyung Tribal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Curyung Tribal Council generated an estimated $1,175,400-$1,567,200 in regional economic activity (BEA RIMS II methodology, output multiplier range 1.8-2.4x), supporting approximately 5-10 jobs (BLS employment requirements methodology).</w:t>
      </w:r>
    </w:p>
    <w:p>
      <w:pPr>
        <w:pStyle w:val="HSBody"/>
      </w:pPr>
      <w:r>
        <w:t>Hazard Alignment: Curyung Tribal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EPA GAP funding to Curyung Tribal Council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Curyung Tribal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Curyung Tribal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Curyung Tribal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Curyung Tribal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Curyung Tribal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Curyung Tribal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Curyung Tribal Council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Curyung Tribal Council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Curyung Tribal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Curyung Tribal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Curyung Tribal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Curyung Tribal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Curyung Tribal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Curyung Tribal Council's advocacy engagements during the current congressional session.</w:t>
      </w:r>
    </w:p>
    <w:p>
      <w:pPr>
        <w:pStyle w:val="HSSection"/>
      </w:pPr>
      <w:r>
        <w:t>Core Message</w:t>
      </w:r>
    </w:p>
    <w:p>
      <w:pPr>
        <w:pStyle w:val="HSBody"/>
      </w:pPr>
      <w:r>
        <w:t>Curyung Tribal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Curyung Tribal Council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Curyung Tribal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