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Douglas Indian Association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Douglas Indian Association's climate risk profile and geographic context.</w:t>
      </w:r>
    </w:p>
    <w:p>
      <w:r>
        <w:br w:type="page"/>
      </w:r>
    </w:p>
    <w:p>
      <w:pPr>
        <w:pStyle w:val="Heading2"/>
      </w:pPr>
      <w:r>
        <w:t>Executive Summary</w:t>
      </w:r>
    </w:p>
    <w:p>
      <w:pPr>
        <w:pStyle w:val="HSTitle"/>
      </w:pPr>
      <w:r>
        <w:t>Douglas Indian Association -- AK</w:t>
      </w:r>
    </w:p>
    <w:p>
      <w:pPr>
        <w:pStyle w:val="HSBody"/>
      </w:pPr>
      <w:r>
        <w:t>This strategy document outlines Douglas Indian Association's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$1,150,401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Douglas Indian Association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Douglas Indian Association's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Douglas Indian Association's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Douglas Indian Association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Douglas Indian Association's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Douglas Indian Association's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Douglas Indian Association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Douglas Indian Association's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Douglas Indian Association's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Douglas Indian Association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Douglas Indian Association's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Douglas Indian Association's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Douglas Indian Association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Douglas Indian Association's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Douglas Indian Association's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$528,000</w:t>
            </w:r>
          </w:p>
        </w:tc>
        <w:tc>
          <w:tcPr>
            <w:tcW w:type="dxa" w:w="2340"/>
            <w:shd w:fill="F2F2F2" w:val="clear"/>
          </w:tcPr>
          <w:p>
            <w:r>
              <w:t>2022-10-01 - 2026-09-30</w:t>
            </w:r>
          </w:p>
        </w:tc>
      </w:tr>
    </w:tbl>
    <w:p>
      <w:pPr>
        <w:pStyle w:val="HSBody"/>
      </w:pPr>
      <w:r>
        <w:rPr>
          <w:b/>
        </w:rPr>
        <w:t>Total: $528,000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Douglas Indian Association generated an estimated $950,400-$1,267,200 in regional economic activity (BEA RIMS II methodology, output multiplier range 1.8-2.4x), supporting approximately 4-8 jobs (BLS employment requirements methodology).</w:t>
      </w:r>
    </w:p>
    <w:p>
      <w:pPr>
        <w:pStyle w:val="HSBody"/>
      </w:pPr>
      <w:r>
        <w:t>Hazard Alignment: Douglas Indian Association's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Douglas Indian Association's Landslide, Avalanche and Earthquake risk makes this program critical for community resilience</w:t>
      </w:r>
    </w:p>
    <w:p>
      <w:pPr>
        <w:pStyle w:val="HSCalloutDetail"/>
        <w:shd w:fill="EEF2FF" w:val="clear"/>
      </w:pPr>
      <w:r>
        <w:t>IMPACT: EPA GAP funding to Douglas Indian Association generated an estimated $950,400-$1,267,200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Douglas Indian Association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Douglas Indian Association's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Douglas Indian Association's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Douglas Indian Association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Douglas Indian Association's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Douglas Indian Association's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Douglas Indian Association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Douglas Indian Association's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Douglas Indian Association's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Douglas Indian Association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Douglas Indian Association's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Douglas Indian Association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Douglas Indian Association's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Douglas Indian Association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Douglas Indian Association's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Douglas Indian Association's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Douglas Indian Association's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Douglas Indian Association.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Douglas Indian Association's advocacy engagements during the current congressional session.</w:t>
      </w:r>
    </w:p>
    <w:p>
      <w:pPr>
        <w:pStyle w:val="HSSection"/>
      </w:pPr>
      <w:r>
        <w:t>Core Message</w:t>
      </w:r>
    </w:p>
    <w:p>
      <w:pPr>
        <w:pStyle w:val="HSBody"/>
      </w:pPr>
      <w:r>
        <w:t>Douglas Indian Association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Douglas Indian Association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Douglas Indian Association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