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Kotlik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Village of Kotlik's climate risk profile and geographic context.</w:t>
      </w:r>
    </w:p>
    <w:p>
      <w:r>
        <w:br w:type="page"/>
      </w:r>
    </w:p>
    <w:p>
      <w:pPr>
        <w:pStyle w:val="Heading2"/>
      </w:pPr>
      <w:r>
        <w:t>Executive Summary</w:t>
      </w:r>
    </w:p>
    <w:p>
      <w:pPr>
        <w:pStyle w:val="HSTitle"/>
      </w:pPr>
      <w:r>
        <w:t>Village of Kotlik -- AK</w:t>
      </w:r>
    </w:p>
    <w:p>
      <w:pPr>
        <w:pStyle w:val="HSBody"/>
      </w:pPr>
      <w:r>
        <w:t>This strategy document outlines Village of Kotlik's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$2,534,251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Kotlik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Kotlik's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$149,998</w:t>
            </w:r>
          </w:p>
        </w:tc>
        <w:tc>
          <w:tcPr>
            <w:tcW w:type="dxa" w:w="2340"/>
            <w:shd w:fill="F2F2F2" w:val="clear"/>
          </w:tcPr>
          <w:p>
            <w:r>
              <w:t>2020-06-01 - 2022-05-31</w:t>
            </w:r>
          </w:p>
        </w:tc>
      </w:tr>
      <w:tr>
        <w:tc>
          <w:tcPr>
            <w:tcW w:type="dxa" w:w="2340"/>
            <w:shd w:fill="FFFFFF" w:val="clear"/>
          </w:tcPr>
          <w:p>
            <w:r>
              <w:t>bia_tcr</w:t>
            </w:r>
          </w:p>
        </w:tc>
        <w:tc>
          <w:tcPr>
            <w:tcW w:type="dxa" w:w="2340"/>
            <w:shd w:fill="FFFFFF" w:val="clear"/>
          </w:tcPr>
          <w:p>
            <w:r>
              <w:t>15.156</w:t>
            </w:r>
          </w:p>
        </w:tc>
        <w:tc>
          <w:tcPr>
            <w:tcW w:type="dxa" w:w="2340"/>
            <w:shd w:fill="FFFFFF" w:val="clear"/>
          </w:tcPr>
          <w:p>
            <w:r>
              <w:t>$148,110</w:t>
            </w:r>
          </w:p>
        </w:tc>
        <w:tc>
          <w:tcPr>
            <w:tcW w:type="dxa" w:w="2340"/>
            <w:shd w:fill="FFFFFF" w:val="clear"/>
          </w:tcPr>
          <w:p>
            <w:r>
              <w:t>2020-06-01 - 2022-05-31</w:t>
            </w:r>
          </w:p>
        </w:tc>
      </w:tr>
      <w:tr>
        <w:tc>
          <w:tcPr>
            <w:tcW w:type="dxa" w:w="2340"/>
            <w:shd w:fill="F2F2F2" w:val="clear"/>
          </w:tcPr>
          <w:p>
            <w:r>
              <w:t>bia_tcr</w:t>
            </w:r>
          </w:p>
        </w:tc>
        <w:tc>
          <w:tcPr>
            <w:tcW w:type="dxa" w:w="2340"/>
            <w:shd w:fill="F2F2F2" w:val="clear"/>
          </w:tcPr>
          <w:p>
            <w:r>
              <w:t>15.156</w:t>
            </w:r>
          </w:p>
        </w:tc>
        <w:tc>
          <w:tcPr>
            <w:tcW w:type="dxa" w:w="2340"/>
            <w:shd w:fill="F2F2F2" w:val="clear"/>
          </w:tcPr>
          <w:p>
            <w:r>
              <w:t>$111,180</w:t>
            </w:r>
          </w:p>
        </w:tc>
        <w:tc>
          <w:tcPr>
            <w:tcW w:type="dxa" w:w="2340"/>
            <w:shd w:fill="F2F2F2" w:val="clear"/>
          </w:tcPr>
          <w:p>
            <w:r>
              <w:t>2021-08-16 - 2025-08-15</w:t>
            </w:r>
          </w:p>
        </w:tc>
      </w:tr>
      <w:tr>
        <w:tc>
          <w:tcPr>
            <w:tcW w:type="dxa" w:w="2340"/>
            <w:shd w:fill="FFFFFF" w:val="clear"/>
          </w:tcPr>
          <w:p>
            <w:r>
              <w:t>bia_tcr</w:t>
            </w:r>
          </w:p>
        </w:tc>
        <w:tc>
          <w:tcPr>
            <w:tcW w:type="dxa" w:w="2340"/>
            <w:shd w:fill="FFFFFF" w:val="clear"/>
          </w:tcPr>
          <w:p>
            <w:r>
              <w:t>15.156</w:t>
            </w:r>
          </w:p>
        </w:tc>
        <w:tc>
          <w:tcPr>
            <w:tcW w:type="dxa" w:w="2340"/>
            <w:shd w:fill="FFFFFF" w:val="clear"/>
          </w:tcPr>
          <w:p>
            <w:r>
              <w:t>$93,896</w:t>
            </w:r>
          </w:p>
        </w:tc>
        <w:tc>
          <w:tcPr>
            <w:tcW w:type="dxa" w:w="2340"/>
            <w:shd w:fill="FFFFFF" w:val="clear"/>
          </w:tcPr>
          <w:p>
            <w:r>
              <w:t>2021-08-16 - 2025-08-15</w:t>
            </w:r>
          </w:p>
        </w:tc>
      </w:tr>
      <w:tr>
        <w:tc>
          <w:tcPr>
            <w:tcW w:type="dxa" w:w="2340"/>
            <w:shd w:fill="F2F2F2" w:val="clear"/>
          </w:tcPr>
          <w:p>
            <w:r>
              <w:t>bia_tcr</w:t>
            </w:r>
          </w:p>
        </w:tc>
        <w:tc>
          <w:tcPr>
            <w:tcW w:type="dxa" w:w="2340"/>
            <w:shd w:fill="F2F2F2" w:val="clear"/>
          </w:tcPr>
          <w:p>
            <w:r>
              <w:t>15.156</w:t>
            </w:r>
          </w:p>
        </w:tc>
        <w:tc>
          <w:tcPr>
            <w:tcW w:type="dxa" w:w="2340"/>
            <w:shd w:fill="F2F2F2" w:val="clear"/>
          </w:tcPr>
          <w:p>
            <w:r>
              <w:t>$83,875</w:t>
            </w:r>
          </w:p>
        </w:tc>
        <w:tc>
          <w:tcPr>
            <w:tcW w:type="dxa" w:w="2340"/>
            <w:shd w:fill="F2F2F2" w:val="clear"/>
          </w:tcPr>
          <w:p>
            <w:r>
              <w:t>2018-10-01 - 2020-10-31</w:t>
            </w:r>
          </w:p>
        </w:tc>
      </w:tr>
      <w:tr>
        <w:tc>
          <w:tcPr>
            <w:tcW w:type="dxa" w:w="2340"/>
            <w:shd w:fill="FFFFFF" w:val="clear"/>
          </w:tcPr>
          <w:p>
            <w:r>
              <w:t>bia_tcr</w:t>
            </w:r>
          </w:p>
        </w:tc>
        <w:tc>
          <w:tcPr>
            <w:tcW w:type="dxa" w:w="2340"/>
            <w:shd w:fill="FFFFFF" w:val="clear"/>
          </w:tcPr>
          <w:p>
            <w:r>
              <w:t>15.156</w:t>
            </w:r>
          </w:p>
        </w:tc>
        <w:tc>
          <w:tcPr>
            <w:tcW w:type="dxa" w:w="2340"/>
            <w:shd w:fill="FFFFFF" w:val="clear"/>
          </w:tcPr>
          <w:p>
            <w:r>
              <w:t>$14,248</w:t>
            </w:r>
          </w:p>
        </w:tc>
        <w:tc>
          <w:tcPr>
            <w:tcW w:type="dxa" w:w="2340"/>
            <w:shd w:fill="FFFFFF" w:val="clear"/>
          </w:tcPr>
          <w:p>
            <w:r>
              <w:t>2018-09-28 - 2019-09-30</w:t>
            </w:r>
          </w:p>
        </w:tc>
      </w:tr>
    </w:tbl>
    <w:p>
      <w:pPr>
        <w:pStyle w:val="HSBody"/>
      </w:pPr>
      <w:r>
        <w:rPr>
          <w:b/>
        </w:rPr>
        <w:t>Total: $601,307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Village of Kotlik generated an estimated $1,082,353-$1,443,137 in regional economic activity (BEA RIMS II methodology, output multiplier range 1.8-2.4x), supporting approximately 5-9 jobs (BLS employment requirements methodology).</w:t>
      </w:r>
    </w:p>
    <w:p>
      <w:pPr>
        <w:pStyle w:val="HSBody"/>
      </w:pPr>
      <w:r>
        <w:t>Hazard Alignment: Village of Kotlik's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BIA Tribal Climate Resilience funding to Village of Kotlik generated an estimated $1,082,353-$1,443,137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Kotlik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Kotlik's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Kotlik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Kotlik's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Kotlik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Kotlik's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$313,000</w:t>
            </w:r>
          </w:p>
        </w:tc>
        <w:tc>
          <w:tcPr>
            <w:tcW w:type="dxa" w:w="2340"/>
            <w:shd w:fill="FFFFFF" w:val="clear"/>
          </w:tcPr>
          <w:p>
            <w:r>
              <w:t>2024-10-01 - 2026-09-30</w:t>
            </w:r>
          </w:p>
        </w:tc>
      </w:tr>
    </w:tbl>
    <w:p>
      <w:pPr>
        <w:pStyle w:val="HSBody"/>
      </w:pPr>
      <w:r>
        <w:rPr>
          <w:b/>
        </w:rPr>
        <w:t>Total: $823,000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Kotlik generated an estimated $1,481,400-$1,975,200 in regional economic activity (BEA RIMS II methodology, output multiplier range 1.8-2.4x), supporting approximately 7-12 jobs (BLS employment requirements methodology).</w:t>
      </w:r>
    </w:p>
    <w:p>
      <w:pPr>
        <w:pStyle w:val="HSBody"/>
      </w:pPr>
      <w:r>
        <w:t>Hazard Alignment: Village of Kotlik's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EPA GAP funding to Village of Kotlik generated an estimated $1,481,400-$1,975,200 in regional economic activity (BEA RIMS II methodology, output multiplier range 1.8-2.4x), supporting approximately 7-12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Kotlik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Kotlik's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Kotlik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Kotlik's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Kotlik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Kotlik's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Kotlik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Kotlik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Kotlik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Kotlik's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Kotlik's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Kotlik's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Kotlik.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Kotlik's advocacy engagements during the current congressional session.</w:t>
      </w:r>
    </w:p>
    <w:p>
      <w:pPr>
        <w:pStyle w:val="HSSection"/>
      </w:pPr>
      <w:r>
        <w:t>Core Message</w:t>
      </w:r>
    </w:p>
    <w:p>
      <w:pPr>
        <w:pStyle w:val="HSBody"/>
      </w:pPr>
      <w:r>
        <w:t>Village of Kotlik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Kotlik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Kotlik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