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Mentasta Traditional Council</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Mentasta Traditional Council's climate risk profile and geographic context.</w:t>
      </w:r>
    </w:p>
    <w:p>
      <w:r>
        <w:br w:type="page"/>
      </w:r>
    </w:p>
    <w:p>
      <w:pPr>
        <w:pStyle w:val="Heading2"/>
      </w:pPr>
      <w:r>
        <w:t>Executive Summary</w:t>
      </w:r>
    </w:p>
    <w:p>
      <w:pPr>
        <w:pStyle w:val="HSTitle"/>
      </w:pPr>
      <w:r>
        <w:t>Mentasta Traditional Council -- AK</w:t>
      </w:r>
    </w:p>
    <w:p>
      <w:pPr>
        <w:pStyle w:val="HSBody"/>
      </w:pPr>
      <w:r>
        <w:t>This strategy document outlines Mentasta Traditional Council's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$2,195,923</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Mentasta Traditional Council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Mentasta Traditional Council's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Mentasta Traditional Council's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Mentasta Traditional Council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Mentasta Traditional Council's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Mentasta Traditional Council's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Mentasta Traditional Council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Mentasta Traditional Council's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Mentasta Traditional Council's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Mentasta Traditional Council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Mentasta Traditional Council's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Mentasta Traditional Council's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Mentasta Traditional Council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Mentasta Traditional Council's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Mentasta Traditional Council's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$528,000</w:t>
            </w:r>
          </w:p>
        </w:tc>
        <w:tc>
          <w:tcPr>
            <w:tcW w:type="dxa" w:w="2340"/>
            <w:shd w:fill="F2F2F2" w:val="clear"/>
          </w:tcPr>
          <w:p>
            <w:r>
              <w:t>2022-10-01 - 2026-09-30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$483,354</w:t>
            </w:r>
          </w:p>
        </w:tc>
        <w:tc>
          <w:tcPr>
            <w:tcW w:type="dxa" w:w="2340"/>
            <w:shd w:fill="FFFFFF" w:val="clear"/>
          </w:tcPr>
          <w:p>
            <w:r>
              <w:t>2018-10-01 - 2022-09-30</w:t>
            </w:r>
          </w:p>
        </w:tc>
      </w:tr>
    </w:tbl>
    <w:p>
      <w:pPr>
        <w:pStyle w:val="HSBody"/>
      </w:pPr>
      <w:r>
        <w:rPr>
          <w:b/>
        </w:rPr>
        <w:t>Total: $1,011,354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Mentasta Traditional Council generated an estimated $1,820,437-$2,427,250 in regional economic activity (BEA RIMS II methodology, output multiplier range 1.8-2.4x), supporting approximately 8-15 jobs (BLS employment requirements methodology).</w:t>
      </w:r>
    </w:p>
    <w:p>
      <w:pPr>
        <w:pStyle w:val="HSBody"/>
      </w:pPr>
      <w:r>
        <w:t>Hazard Alignment: Mentasta Traditional Council's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Mentasta Traditional Council's Landslide, Avalanche and Earthquake risk makes this program critical for community resilience</w:t>
      </w:r>
    </w:p>
    <w:p>
      <w:pPr>
        <w:pStyle w:val="HSCalloutDetail"/>
        <w:shd w:fill="EEF2FF" w:val="clear"/>
      </w:pPr>
      <w:r>
        <w:t>IMPACT: EPA GAP funding to Mentasta Traditional Council generated an estimated $1,820,437-$2,427,250 in regional economic activity (BEA RIMS II methodology, output multiplier range 1.8-2.4x), supporting approximately 8-15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Mentasta Traditional Council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Mentasta Traditional Council's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Mentasta Traditional Council's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Mentasta Traditional Council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Mentasta Traditional Council's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Mentasta Traditional Council's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Mentasta Traditional Council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Mentasta Traditional Council's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Mentasta Traditional Council's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Mentasta Traditional Council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Mentasta Traditional Council's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Mentasta Traditional Council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Mentasta Traditional Council's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Mentasta Traditional Council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Mentasta Traditional Council's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Mentasta Traditional Council's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Mentasta Traditional Council's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Mentasta Traditional Council.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Mentasta Traditional Council's advocacy engagements during the current congressional session.</w:t>
      </w:r>
    </w:p>
    <w:p>
      <w:pPr>
        <w:pStyle w:val="HSSection"/>
      </w:pPr>
      <w:r>
        <w:t>Core Message</w:t>
      </w:r>
    </w:p>
    <w:p>
      <w:pPr>
        <w:pStyle w:val="HSBody"/>
      </w:pPr>
      <w:r>
        <w:t>Mentasta Traditional Council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Mentasta Traditional Council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Mentasta Traditional Council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