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Noorvik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Noorvik Native Community's climate risk profile and geographic context.</w:t>
      </w:r>
    </w:p>
    <w:p>
      <w:r>
        <w:br w:type="page"/>
      </w:r>
    </w:p>
    <w:p>
      <w:pPr>
        <w:pStyle w:val="Heading2"/>
      </w:pPr>
      <w:r>
        <w:t>Executive Summary</w:t>
      </w:r>
    </w:p>
    <w:p>
      <w:pPr>
        <w:pStyle w:val="HSTitle"/>
      </w:pPr>
      <w:r>
        <w:t>Noorvik Native Community -- AK</w:t>
      </w:r>
    </w:p>
    <w:p>
      <w:pPr>
        <w:pStyle w:val="HSBody"/>
      </w:pPr>
      <w:r>
        <w:t>This strategy document outlines Noorvik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$2,260,368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Noorvik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Noorvik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Noorvik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Noorvik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Noorvik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Noorvik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Noorvik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Noorvik Native Community generated an estimated $1,175,400-$1,567,200 in regional economic activity (BEA RIMS II methodology, output multiplier range 1.8-2.4x), supporting approximately 5-10 jobs (BLS employment requirements methodology).</w:t>
      </w:r>
    </w:p>
    <w:p>
      <w:pPr>
        <w:pStyle w:val="HSBody"/>
      </w:pPr>
      <w:r>
        <w:t>Hazard Alignment: Noorvik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EPA GAP funding to Noorvik Native Community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Noorvik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Noorvik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Noorvik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Noorvik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Noorvik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Noorvik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Noorvik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Noorvik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Noorvik Native Community's advocacy engagements during the current congressional session.</w:t>
      </w:r>
    </w:p>
    <w:p>
      <w:pPr>
        <w:pStyle w:val="HSSection"/>
      </w:pPr>
      <w:r>
        <w:t>Core Message</w:t>
      </w:r>
    </w:p>
    <w:p>
      <w:pPr>
        <w:pStyle w:val="HSBody"/>
      </w:pPr>
      <w:r>
        <w:t>Noorvik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Noorvik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Noorvik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