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Pitka's Point Traditional Council</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Pitka's Point Traditional Council's climate risk profile and geographic context.</w:t>
      </w:r>
    </w:p>
    <w:p>
      <w:r>
        <w:br w:type="page"/>
      </w:r>
    </w:p>
    <w:p>
      <w:pPr>
        <w:pStyle w:val="Heading2"/>
      </w:pPr>
      <w:r>
        <w:t>Executive Summary</w:t>
      </w:r>
    </w:p>
    <w:p>
      <w:pPr>
        <w:pStyle w:val="HSTitle"/>
      </w:pPr>
      <w:r>
        <w:t>Pitka's Point Traditional Council -- AK</w:t>
      </w:r>
    </w:p>
    <w:p>
      <w:pPr>
        <w:pStyle w:val="HSBody"/>
      </w:pPr>
      <w:r>
        <w:t>This strategy document outlines Pitka's Point Traditional Council's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$125,000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Pitka's Point Traditional Council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Pitka's Point Traditional Council's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Pitka's Point Traditional Council's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Pitka's Point Traditional Council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Pitka's Point Traditional Council's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Pitka's Point Traditional Council's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Pitka's Point Traditional Council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Pitka's Point Traditional Council's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Pitka's Point Traditional Council's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Pitka's Point Traditional Council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Pitka's Point Traditional Council's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Pitka's Point Traditional Council's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Pitka's Point Traditional Council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Pitka's Point Traditional Council's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Pitka's Point Traditional Council's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$125,000</w:t>
            </w:r>
          </w:p>
        </w:tc>
        <w:tc>
          <w:tcPr>
            <w:tcW w:type="dxa" w:w="2340"/>
            <w:shd w:fill="F2F2F2" w:val="clear"/>
          </w:tcPr>
          <w:p>
            <w:r>
              <w:t>2022-10-01 - 2024-09-30</w:t>
            </w:r>
          </w:p>
        </w:tc>
      </w:tr>
    </w:tbl>
    <w:p>
      <w:pPr>
        <w:pStyle w:val="HSBody"/>
      </w:pPr>
      <w:r>
        <w:rPr>
          <w:b/>
        </w:rPr>
        <w:t>Total: $125,000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Pitka's Point Traditional Council generated an estimated $225,000-$300,000 in regional economic activity (BEA RIMS II methodology, output multiplier range 1.8-2.4x), supporting approximately 1-2 jobs (BLS employment requirements methodology).</w:t>
      </w:r>
    </w:p>
    <w:p>
      <w:pPr>
        <w:pStyle w:val="HSBody"/>
      </w:pPr>
      <w:r>
        <w:t>Hazard Alignment: Pitka's Point Traditional Council's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Pitka's Point Traditional Council's Landslide, Avalanche and Earthquake risk makes this program critical for community resilience</w:t>
      </w:r>
    </w:p>
    <w:p>
      <w:pPr>
        <w:pStyle w:val="HSCalloutDetail"/>
        <w:shd w:fill="EEF2FF" w:val="clear"/>
      </w:pPr>
      <w:r>
        <w:t>IMPACT: EPA GAP funding to Pitka's Point Traditional Council generated an estimated $225,000-$300,000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Pitka's Point Traditional Council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Pitka's Point Traditional Council's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Pitka's Point Traditional Council's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Pitka's Point Traditional Council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Pitka's Point Traditional Council's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Pitka's Point Traditional Council's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Pitka's Point Traditional Council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Pitka's Point Traditional Council's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Pitka's Point Traditional Council's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Pitka's Point Traditional Council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Pitka's Point Traditional Council's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Pitka's Point Traditional Council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Pitka's Point Traditional Council's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Pitka's Point Traditional Council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Pitka's Point Traditional Council's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Pitka's Point Traditional Council's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Pitka's Point Traditional Council's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Pitka's Point Traditional Council.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Pitka's Point Traditional Council's advocacy engagements during the current congressional session.</w:t>
      </w:r>
    </w:p>
    <w:p>
      <w:pPr>
        <w:pStyle w:val="HSSection"/>
      </w:pPr>
      <w:r>
        <w:t>Core Message</w:t>
      </w:r>
    </w:p>
    <w:p>
      <w:pPr>
        <w:pStyle w:val="HSBody"/>
      </w:pPr>
      <w:r>
        <w:t>Pitka's Point Traditional Council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Pitka's Point Traditional Council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Pitka's Point Traditional Council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