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Port Graham</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Port Graham's climate risk profile and geographic context.</w:t>
      </w:r>
    </w:p>
    <w:p>
      <w:r>
        <w:br w:type="page"/>
      </w:r>
    </w:p>
    <w:p>
      <w:pPr>
        <w:pStyle w:val="Heading2"/>
      </w:pPr>
      <w:r>
        <w:t>Executive Summary</w:t>
      </w:r>
    </w:p>
    <w:p>
      <w:pPr>
        <w:pStyle w:val="HSTitle"/>
      </w:pPr>
      <w:r>
        <w:t>Native Village of Port Graham -- AK</w:t>
      </w:r>
    </w:p>
    <w:p>
      <w:pPr>
        <w:pStyle w:val="HSBody"/>
      </w:pPr>
      <w:r>
        <w:t>This strategy document outlines Native Village of Port Graham's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$12,939,267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Graham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Port Graham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Port Graham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Graham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Port Graham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$250,000</w:t>
            </w:r>
          </w:p>
        </w:tc>
        <w:tc>
          <w:tcPr>
            <w:tcW w:type="dxa" w:w="2340"/>
            <w:shd w:fill="FFFFFF" w:val="clear"/>
          </w:tcPr>
          <w:p>
            <w:r>
              <w:t>2024-10-01 - 2026-09-30</w:t>
            </w:r>
          </w:p>
        </w:tc>
      </w:tr>
    </w:tbl>
    <w:p>
      <w:pPr>
        <w:pStyle w:val="HSBody"/>
      </w:pPr>
      <w:r>
        <w:rPr>
          <w:b/>
        </w:rPr>
        <w:t>Total: $750,000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Port Graham generated an estimated $1,350,000-$1,800,000 in regional economic activity (BEA RIMS II methodology, output multiplier range 1.8-2.4x), supporting approximately 6-11 jobs (BLS employment requirements methodology).</w:t>
      </w:r>
    </w:p>
    <w:p>
      <w:pPr>
        <w:pStyle w:val="HSBody"/>
      </w:pPr>
      <w:r>
        <w:t>Hazard Alignment: Native Village of Port Graham's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EPA GAP funding to Native Village of Port Graham generated an estimated $1,350,000-$1,800,000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Port Graham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Port Graham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Port Graham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Graham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Graham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Port Graham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Port Graham's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Port Graham's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Port Graham's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Port Graham.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Port Graham's advocacy engagements during the current congressional session.</w:t>
      </w:r>
    </w:p>
    <w:p>
      <w:pPr>
        <w:pStyle w:val="HSSection"/>
      </w:pPr>
      <w:r>
        <w:t>Core Message</w:t>
      </w:r>
    </w:p>
    <w:p>
      <w:pPr>
        <w:pStyle w:val="HSBody"/>
      </w:pPr>
      <w:r>
        <w:t>Native Village of Port Graham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Port Graham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Port Graham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