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Stevens</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Stevens's climate risk profile and geographic context.</w:t>
      </w:r>
    </w:p>
    <w:p>
      <w:r>
        <w:br w:type="page"/>
      </w:r>
    </w:p>
    <w:p>
      <w:pPr>
        <w:pStyle w:val="Heading2"/>
      </w:pPr>
      <w:r>
        <w:t>Executive Summary</w:t>
      </w:r>
    </w:p>
    <w:p>
      <w:pPr>
        <w:pStyle w:val="HSTitle"/>
      </w:pPr>
      <w:r>
        <w:t>Native Village of Stevens -- AK</w:t>
      </w:r>
    </w:p>
    <w:p>
      <w:pPr>
        <w:pStyle w:val="HSBody"/>
      </w:pPr>
      <w:r>
        <w:t>This strategy document outlines Native Village of Stevens's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$2,564,631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Stevens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Stevens's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Stevens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Stevens's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Stevens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Stevens's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Stevens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Stevens's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Stevens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Stevens's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Stevens generated an estimated $950,400-$1,267,200 in regional economic activity (BEA RIMS II methodology, output multiplier range 1.8-2.4x), supporting approximately 4-8 jobs (BLS employment requirements methodology).</w:t>
      </w:r>
    </w:p>
    <w:p>
      <w:pPr>
        <w:pStyle w:val="HSBody"/>
      </w:pPr>
      <w:r>
        <w:t>Hazard Alignment: Native Village of Stevens's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EPA GAP funding to Native Village of Stevens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Stevens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Stevens's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Stevens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Stevens's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Stevens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Stevens's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Stevens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Stevens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Stevens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Stevens's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Stevens's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Stevens's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Stevens.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Stevens's advocacy engagements during the current congressional session.</w:t>
      </w:r>
    </w:p>
    <w:p>
      <w:pPr>
        <w:pStyle w:val="HSSection"/>
      </w:pPr>
      <w:r>
        <w:t>Core Message</w:t>
      </w:r>
    </w:p>
    <w:p>
      <w:pPr>
        <w:pStyle w:val="HSBody"/>
      </w:pPr>
      <w:r>
        <w:t>Native Village of Stevens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Stevens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Stevens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