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Ak-Chin Indian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Ak-Chin Indian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Ak-Chin Indian Community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$12,966,057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$532,554</w:t>
            </w:r>
          </w:p>
        </w:tc>
        <w:tc>
          <w:tcPr>
            <w:tcW w:type="dxa" w:w="2340"/>
            <w:shd w:fill="F2F2F2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$532,554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Ak-Chin Indian Community generated an estimated $958,597-$1,278,130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Ak-Chin Indian Community generated an estimated $958,597-$1,278,130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$7,943,645</w:t>
            </w:r>
          </w:p>
        </w:tc>
        <w:tc>
          <w:tcPr>
            <w:tcW w:type="dxa" w:w="2340"/>
            <w:shd w:fill="F2F2F2" w:val="clear"/>
          </w:tcPr>
          <w:p>
            <w:r>
              <w:t>2012-01-06 - 2033-09-30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$328,620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$8,272,265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Ak-Chin Indian Community generated an estimated $14,890,077-$19,853,436 in regional economic activity (BEA RIMS II methodology, output multiplier range 1.8-2.4x), supporting approximately 66-124 jobs (BLS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Ak-Chin Indian Community generated an estimated $14,890,077-$19,853,436 in regional economic activity (BEA RIMS II methodology, output multiplier range 1.8-2.4x), supporting approximately 66-124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Ak-Chin Indian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Ak-Chin Indian Community's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Ak-Chin Indian Community's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Ak-Chin Indian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Ak-Chin Indian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Ak-Chin Indian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