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Cachil DeHe Band of Wintun Indians of the Colusa Indian Community of the Colusa Rancheria,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Cachil DeHe Band of Wintun Indians of the Colusa Indian Community of the Colusa Rancheria, California's climate risk profile and geographic context.</w:t>
      </w:r>
    </w:p>
    <w:p>
      <w:r>
        <w:br w:type="page"/>
      </w:r>
    </w:p>
    <w:p>
      <w:pPr>
        <w:pStyle w:val="Heading2"/>
      </w:pPr>
      <w:r>
        <w:t>Executive Summary</w:t>
      </w:r>
    </w:p>
    <w:p>
      <w:pPr>
        <w:pStyle w:val="HSTitle"/>
      </w:pPr>
      <w:r>
        <w:t>Cachil DeHe Band of Wintun Indians of the Colusa Indian Community of the Colusa Rancheria,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Cachil DeHe Band of Wintun Indians of the Colusa Indian Community of the Colusa Rancheria,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Cachil DeHe Band of Wintun Indians of the Colusa Indian Community of the Colusa Rancheria,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Cachil DeHe Band of Wintun Indians of the Colusa Indian Community of the Colusa Rancheria,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Cachil DeHe Band of Wintun Indians of the Colusa Indian Community of the Colusa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Cachil DeHe Band of Wintun Indians of the Colusa Indian Community of the Colusa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Cachil DeHe Band of Wintun Indians of the Colusa Indian Community of the Colusa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