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Cloverdale Rancheria of Pomo Indians of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Cloverdale Rancheria of Pomo Indians of California's climate risk profile and geographic context.</w:t>
      </w:r>
    </w:p>
    <w:p>
      <w:r>
        <w:br w:type="page"/>
      </w:r>
    </w:p>
    <w:p>
      <w:pPr>
        <w:pStyle w:val="Heading2"/>
      </w:pPr>
      <w:r>
        <w:t>Executive Summary</w:t>
      </w:r>
    </w:p>
    <w:p>
      <w:pPr>
        <w:pStyle w:val="HSTitle"/>
      </w:pPr>
      <w:r>
        <w:t>Cloverdale Rancheria of Pomo Indians of California -- CA</w:t>
      </w:r>
    </w:p>
    <w:p>
      <w:pPr>
        <w:pStyle w:val="HSBody"/>
      </w:pPr>
      <w:r>
        <w:t>Top Climate Hazards: Wildfire, Earthquake, Landslide</w:t>
      </w:r>
    </w:p>
    <w:p>
      <w:pPr>
        <w:pStyle w:val="HSBody"/>
      </w:pPr>
      <w:r>
        <w:t>Total Federal Climate Resilience Funding: $5,247,513</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$5,069,652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$177,861</w:t>
            </w:r>
          </w:p>
        </w:tc>
        <w:tc>
          <w:tcPr>
            <w:tcW w:type="dxa" w:w="2340"/>
            <w:shd w:fill="FFFFFF" w:val="clear"/>
          </w:tcPr>
          <w:p>
            <w:r>
              <w:t>2021-04-22 - 2026-09-30</w:t>
            </w:r>
          </w:p>
        </w:tc>
      </w:tr>
    </w:tbl>
    <w:p>
      <w:pPr>
        <w:pStyle w:val="HSBody"/>
      </w:pPr>
      <w:r>
        <w:rPr>
          <w:b/>
        </w:rPr>
        <w:t>Total: $5,247,513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Cloverdale Rancheria of Pomo Indians of California generated an estimated $9,445,523-$12,594,031 in regional economic activity (BEA RIMS II methodology, output multiplier range 1.8-2.4x), supporting approximately 42-79 jobs (BLS employment requirements methodology).</w:t>
      </w:r>
    </w:p>
    <w:p>
      <w:pPr>
        <w:pStyle w:val="HSBody"/>
      </w:pPr>
      <w:r>
        <w:t>Hazard Alignment: Cloverdale Rancheria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HUD IHBG funding to Cloverdale Rancheria of Pomo Indians of California generated an estimated $9,445,523-$12,594,031 in regional economic activity (BEA RIMS II methodology, output multiplier range 1.8-2.4x), supporting approximately 42-79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Cloverdale Rancheria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Cloverdale Rancheria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Cloverdale Rancheria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