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Cold Springs Rancheria of Mono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Cold Springs Rancheria of Mono Indians of California's climate risk profile and geographic context.</w:t>
      </w:r>
    </w:p>
    <w:p>
      <w:r>
        <w:br w:type="page"/>
      </w:r>
    </w:p>
    <w:p>
      <w:pPr>
        <w:pStyle w:val="Heading2"/>
      </w:pPr>
      <w:r>
        <w:t>Executive Summary</w:t>
      </w:r>
    </w:p>
    <w:p>
      <w:pPr>
        <w:pStyle w:val="HSTitle"/>
      </w:pPr>
      <w:r>
        <w:t>Cold Springs Rancheria of Mono Indians of California -- CA</w:t>
      </w:r>
    </w:p>
    <w:p>
      <w:pPr>
        <w:pStyle w:val="HSBody"/>
      </w:pPr>
      <w:r>
        <w:t>Top Climate Hazards: Wildfire, Earthquake, Landslide</w:t>
      </w:r>
    </w:p>
    <w:p>
      <w:pPr>
        <w:pStyle w:val="HSBody"/>
      </w:pPr>
      <w:r>
        <w:t>Total Federal Climate Resilience Funding: $4,219,200</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$105,357</w:t>
            </w:r>
          </w:p>
        </w:tc>
        <w:tc>
          <w:tcPr>
            <w:tcW w:type="dxa" w:w="2340"/>
            <w:shd w:fill="F2F2F2" w:val="clear"/>
          </w:tcPr>
          <w:p>
            <w:r>
              <w:t>2024-10-01 - 2025-09-30</w:t>
            </w:r>
          </w:p>
        </w:tc>
      </w:tr>
    </w:tbl>
    <w:p>
      <w:pPr>
        <w:pStyle w:val="HSBody"/>
      </w:pPr>
      <w:r>
        <w:rPr>
          <w:b/>
        </w:rPr>
        <w:t>Total: $105,357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Cold Springs Rancheria of Mono Indians of California generated an estimated $189,643-$252,857 in regional economic activity (BEA RIMS II methodology, output multiplier range 1.8-2.4x), supporting approximately 1-2 jobs (BLS employment requirements methodology).</w:t>
      </w:r>
    </w:p>
    <w:p>
      <w:pPr>
        <w:pStyle w:val="HSBody"/>
      </w:pPr>
      <w:r>
        <w:t>Hazard Alignment: Cold Springs Rancheria of Mono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EPA GAP funding to Cold Springs Rancheria of Mono Indians of California generated an estimated $189,643-$252,857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$3,815,773</w:t>
            </w:r>
          </w:p>
        </w:tc>
        <w:tc>
          <w:tcPr>
            <w:tcW w:type="dxa" w:w="2340"/>
            <w:shd w:fill="F2F2F2" w:val="clear"/>
          </w:tcPr>
          <w:p>
            <w:r>
              <w:t>2017-07-28 - 2034-09-30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$298,070</w:t>
            </w:r>
          </w:p>
        </w:tc>
        <w:tc>
          <w:tcPr>
            <w:tcW w:type="dxa" w:w="2340"/>
            <w:shd w:fill="FFFFFF" w:val="clear"/>
          </w:tcPr>
          <w:p>
            <w:r>
              <w:t>2021-04-22 - 2026-09-30</w:t>
            </w:r>
          </w:p>
        </w:tc>
      </w:tr>
    </w:tbl>
    <w:p>
      <w:pPr>
        <w:pStyle w:val="HSBody"/>
      </w:pPr>
      <w:r>
        <w:rPr>
          <w:b/>
        </w:rPr>
        <w:t>Total: $4,113,843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Cold Springs Rancheria of Mono Indians of California generated an estimated $7,404,917-$9,873,223 in regional economic activity (BEA RIMS II methodology, output multiplier range 1.8-2.4x), supporting approximately 33-62 jobs (BLS employment requirements methodology).</w:t>
      </w:r>
    </w:p>
    <w:p>
      <w:pPr>
        <w:pStyle w:val="HSBody"/>
      </w:pPr>
      <w:r>
        <w:t>Hazard Alignment: Cold Springs Rancheria of Mono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HUD IHBG funding to Cold Springs Rancheria of Mono Indians of California generated an estimated $7,404,917-$9,873,223 in regional economic activity (BEA RIMS II methodology, output multiplier range 1.8-2.4x), supporting approximately 33-62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Cold Springs Rancheria of Mono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Cold Springs Rancheria of Mono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Cold Springs Rancheria of Mono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