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Kootenai Tribe of Idaho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Kootenai Tribe of Idaho's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Kootenai Tribe of Idaho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Total Federal Climate Resilience Funding: $1,957,348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$1,900,157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$57,191</w:t>
            </w:r>
          </w:p>
        </w:tc>
        <w:tc>
          <w:tcPr>
            <w:tcW w:type="dxa" w:w="2340"/>
            <w:shd w:fill="FFFFFF" w:val="clear"/>
          </w:tcPr>
          <w:p>
            <w:r>
              <w:t>2022-01-28 - 2026-09-30</w:t>
            </w:r>
          </w:p>
        </w:tc>
      </w:tr>
    </w:tbl>
    <w:p>
      <w:pPr>
        <w:pStyle w:val="HSBody"/>
      </w:pPr>
      <w:r>
        <w:rPr>
          <w:b/>
        </w:rPr>
        <w:t>Total: $1,957,348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Kootenai Tribe of Idaho generated an estimated $3,523,226-$4,697,635 in regional economic activity (BEA RIMS II methodology, output multiplier range 1.8-2.4x), supporting approximately 16-29 jobs (BLS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Kootenai Tribe of Idaho generated an estimated $3,523,226-$4,697,635 in regional economic activity (BEA RIMS II methodology, output multiplier range 1.8-2.4x), supporting approximately 16-29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Kootenai Tribe of Idaho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Kootenai Tribe of Idaho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Kootenai Tribe of Idaho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