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Manchester Band of Pomo Indians of the Manchester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Manchester Band of Pomo Indians of the Manchester Rancheria, California's climate risk profile and geographic context.</w:t>
      </w:r>
    </w:p>
    <w:p>
      <w:r>
        <w:br w:type="page"/>
      </w:r>
    </w:p>
    <w:p>
      <w:pPr>
        <w:pStyle w:val="Heading2"/>
      </w:pPr>
      <w:r>
        <w:t>Executive Summary</w:t>
      </w:r>
    </w:p>
    <w:p>
      <w:pPr>
        <w:pStyle w:val="HSTitle"/>
      </w:pPr>
      <w:r>
        <w:t>Manchester Band of Pomo Indians of the Manchester Rancheria,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Manchester Band of Pomo Indians of the Manchester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Manchester Band of Pomo Indians of the Manchester Rancheria,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Manchester Band of Pomo Indians of the Manchester Rancheria,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Manchester Band of Pomo Indians of the Manchester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Manchester Band of Pomo Indians of the Manchester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Manchester Band of Pomo Indians of the Manchester Rancheria,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Manchester Band of Pomo Indians of the Manchester Rancheria,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Manchester Band of Pomo Indians of the Manchester Rancheria,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Manchester Band of Pomo Indians of the Manchester Rancheria,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Manchester Band of Pomo Indians of the Manchester Rancheria,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Manchester Band of Pomo Indians of the Manchester Rancheria,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Manchester Band of Pomo Indians of the Manchester Rancheria,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Manchester Band of Pomo Indians of the Manchester Rancheria,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Manchester Band of Pomo Indians of the Manchester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Manchester Band of Pomo Indians of the Manchester Rancheria,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