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Oneida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Oneida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Oneida Indian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$102,254,308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$74,597,862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$6,281,777</w:t>
            </w:r>
          </w:p>
        </w:tc>
        <w:tc>
          <w:tcPr>
            <w:tcW w:type="dxa" w:w="2340"/>
            <w:shd w:fill="FFFFFF" w:val="clear"/>
          </w:tcPr>
          <w:p>
            <w:r>
              <w:t>2015-11-18 - 2034-09-30</w:t>
            </w:r>
          </w:p>
        </w:tc>
      </w:tr>
    </w:tbl>
    <w:p>
      <w:pPr>
        <w:pStyle w:val="HSBody"/>
      </w:pPr>
      <w:r>
        <w:rPr>
          <w:b/>
        </w:rPr>
        <w:t>Total: $80,879,639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Oneida Indian Nation generated an estimated $145,583,350-$194,111,133 in regional economic activity (BEA RIMS II methodology, output multiplier range 1.8-2.4x), supporting approximately 647-1213 jobs (BLS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Oneida Indian Nation generated an estimated $145,583,350-$194,111,133 in regional economic activity (BEA RIMS II methodology, output multiplier range 1.8-2.4x), supporting approximately 647-1213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$539,447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$539,447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Oneida Indian Nation generated an estimated $971,005-$1,294,673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GAP funding to Oneida Indian Nation generated an estimated $971,005-$1,294,673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$1,523,946</w:t>
            </w:r>
          </w:p>
        </w:tc>
        <w:tc>
          <w:tcPr>
            <w:tcW w:type="dxa" w:w="2340"/>
            <w:shd w:fill="F2F2F2" w:val="clear"/>
          </w:tcPr>
          <w:p>
            <w:r>
              <w:t>2019-09-01 - 2025-12-31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$549,524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$1,094,589</w:t>
            </w:r>
          </w:p>
        </w:tc>
        <w:tc>
          <w:tcPr>
            <w:tcW w:type="dxa" w:w="2340"/>
            <w:shd w:fill="F2F2F2" w:val="clear"/>
          </w:tcPr>
          <w:p>
            <w:r>
              <w:t>2024-01-01 - 2027-12-31</w:t>
            </w:r>
          </w:p>
        </w:tc>
      </w:tr>
    </w:tbl>
    <w:p>
      <w:pPr>
        <w:pStyle w:val="HSBody"/>
      </w:pPr>
      <w:r>
        <w:rPr>
          <w:b/>
        </w:rPr>
        <w:t>Total: $3,168,059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Oneida Indian Nation generated an estimated $5,702,506-$7,603,342 in regional economic activity (BEA RIMS II methodology, output multiplier range 1.8-2.4x), supporting approximately 25-48 jobs (BLS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Oneida Indian Nation generated an estimated $5,702,506-$7,603,342 in regional economic activity (BEA RIMS II methodology, output multiplier range 1.8-2.4x), supporting approximately 25-48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Indian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Oneida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Oneida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Oneida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Oneida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