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Picayune Rancheria of Chukchansi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Picayune Rancheria of Chukchansi Indians of California's climate risk profile and geographic context.</w:t>
      </w:r>
    </w:p>
    <w:p>
      <w:r>
        <w:br w:type="page"/>
      </w:r>
    </w:p>
    <w:p>
      <w:pPr>
        <w:pStyle w:val="Heading2"/>
      </w:pPr>
      <w:r>
        <w:t>Executive Summary</w:t>
      </w:r>
    </w:p>
    <w:p>
      <w:pPr>
        <w:pStyle w:val="HSTitle"/>
      </w:pPr>
      <w:r>
        <w:t>Picayune Rancheria of Chukchansi Indians of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Picayune Rancheria of Chukchansi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Picayune Rancheria of Chukchansi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Picayune Rancheria of Chukchansi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Picayune Rancheria of Chukchansi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Picayune Rancheria of Chukchansi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Picayune Rancheria of Chukchansi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