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Santa Rosa Band of Cahuilla Indians, California</w:t>
      </w:r>
    </w:p>
    <w:p>
      <w:pPr>
        <w:pStyle w:val="HSBody"/>
      </w:pPr>
      <w:r>
        <w:t>Prepared for the offices of: No delegation data</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Santa Rosa Band of Cahuilla Indians, California's climate risk profile and geographic context.</w:t>
      </w:r>
    </w:p>
    <w:p>
      <w:r>
        <w:br w:type="page"/>
      </w:r>
    </w:p>
    <w:p>
      <w:pPr>
        <w:pStyle w:val="Heading2"/>
      </w:pPr>
      <w:r>
        <w:t>Executive Summary</w:t>
      </w:r>
    </w:p>
    <w:p>
      <w:pPr>
        <w:pStyle w:val="HSTitle"/>
      </w:pPr>
      <w:r>
        <w:t>Santa Rosa Band of Cahuilla Indians,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0 Senator(s) and 0 Representative(s) across 0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p>
      <w:pPr>
        <w:pStyle w:val="HSBody"/>
      </w:pPr>
      <w:r>
        <w:t>Congressional delegation data not available.</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Santa Rosa Band of Cahuilla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Santa Rosa Band of Cahuilla Indians,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Santa Rosa Band of Cahuilla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Congressional delegation data not available.</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Santa Rosa Band of Cahuilla Indians,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Santa Rosa Band of Cahuilla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Santa Rosa Band of Cahuilla Indians,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