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Skull Valley Band of Goshute Indians of Utah</w:t>
      </w:r>
    </w:p>
    <w:p>
      <w:pPr>
        <w:pStyle w:val="HSBody"/>
      </w:pPr>
      <w:r>
        <w:t>Prepared for the offices of: 2 Senators, 1 Representative</w:t>
      </w:r>
    </w:p>
    <w:p>
      <w:pPr>
        <w:pStyle w:val="HSBody"/>
      </w:pPr>
      <w:r>
        <w:t>State(s): UT</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DOT PROTECT</w:t>
      </w:r>
      <w:r>
        <w:t xml:space="preserve">  </w:t>
      </w:r>
      <w:r>
        <w:rPr>
          <w:color w:val="4B5563"/>
          <w:sz w:val="16"/>
        </w:rPr>
        <w:t>[Secure]</w:t>
      </w:r>
    </w:p>
    <w:p>
      <w:pPr>
        <w:pStyle w:val="HSBody"/>
      </w:pPr>
      <w:r>
        <w:t>7. EPA GAP</w:t>
      </w:r>
      <w:r>
        <w:t xml:space="preserve">  </w:t>
      </w:r>
      <w:r>
        <w:rPr>
          <w:color w:val="4B5563"/>
          <w:sz w:val="16"/>
        </w:rPr>
        <w:t>[Stable]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Skull Valley Band of Goshute Indians of Utah's climate risk profile and geographic context.</w:t>
      </w:r>
    </w:p>
    <w:p>
      <w:r>
        <w:br w:type="page"/>
      </w:r>
    </w:p>
    <w:p>
      <w:pPr>
        <w:pStyle w:val="Heading2"/>
      </w:pPr>
      <w:r>
        <w:t>Executive Summary</w:t>
      </w:r>
    </w:p>
    <w:p>
      <w:pPr>
        <w:pStyle w:val="HSTitle"/>
      </w:pPr>
      <w:r>
        <w:t>Skull Valley Band of Goshute Indians of Utah -- UT</w:t>
      </w:r>
    </w:p>
    <w:p>
      <w:pPr>
        <w:pStyle w:val="HSBody"/>
      </w:pPr>
      <w:r>
        <w:t>Top Climate Hazards: Wildfire, Landslide, Avalanche</w:t>
      </w:r>
    </w:p>
    <w:p>
      <w:pPr>
        <w:pStyle w:val="HSBody"/>
      </w:pPr>
      <w:r>
        <w:t>Total Federal Climate Resilience Funding: $1,569,045</w:t>
      </w:r>
    </w:p>
    <w:p>
      <w:pPr>
        <w:pStyle w:val="HSBody"/>
      </w:pPr>
      <w:r>
        <w:t>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Mike Lee (R-UT)</w:t>
            </w:r>
          </w:p>
        </w:tc>
        <w:tc>
          <w:tcPr>
            <w:tcW w:type="dxa" w:w="1872"/>
            <w:shd w:fill="F2F2F2" w:val="clear"/>
          </w:tcPr>
          <w:p>
            <w:r>
              <w:t>Senator</w:t>
            </w:r>
          </w:p>
        </w:tc>
        <w:tc>
          <w:tcPr>
            <w:tcW w:type="dxa" w:w="1872"/>
            <w:shd w:fill="F2F2F2" w:val="clear"/>
          </w:tcPr>
          <w:p>
            <w:r>
              <w:t>UT</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John R. Curtis (R-UT)</w:t>
            </w:r>
          </w:p>
        </w:tc>
        <w:tc>
          <w:tcPr>
            <w:tcW w:type="dxa" w:w="1872"/>
            <w:shd w:fill="FFFFFF" w:val="clear"/>
          </w:tcPr>
          <w:p>
            <w:r>
              <w:t>Senator</w:t>
            </w:r>
          </w:p>
        </w:tc>
        <w:tc>
          <w:tcPr>
            <w:tcW w:type="dxa" w:w="1872"/>
            <w:shd w:fill="FFFFFF" w:val="clear"/>
          </w:tcPr>
          <w:p>
            <w:r>
              <w:t>UT</w:t>
            </w:r>
          </w:p>
        </w:tc>
        <w:tc>
          <w:tcPr>
            <w:tcW w:type="dxa" w:w="1872"/>
            <w:shd w:fill="FFFFFF" w:val="clear"/>
          </w:tcPr>
          <w:p>
            <w:r>
              <w:t>At-Large</w:t>
            </w:r>
          </w:p>
        </w:tc>
        <w:tc>
          <w:tcPr>
            <w:tcW w:type="dxa" w:w="1872"/>
            <w:shd w:fill="FFFFFF" w:val="clear"/>
          </w:tcPr>
          <w:p>
            <w:r>
              <w:t>Senate Committee on Commerce, Science, and Transportation</w:t>
            </w:r>
          </w:p>
        </w:tc>
      </w:tr>
      <w:tr>
        <w:tc>
          <w:tcPr>
            <w:tcW w:type="dxa" w:w="1872"/>
            <w:shd w:fill="F2F2F2" w:val="clear"/>
          </w:tcPr>
          <w:p>
            <w:r>
              <w:t>Rep. Celeste Maloy (R-UT-02)</w:t>
            </w:r>
          </w:p>
        </w:tc>
        <w:tc>
          <w:tcPr>
            <w:tcW w:type="dxa" w:w="1872"/>
            <w:shd w:fill="F2F2F2" w:val="clear"/>
          </w:tcPr>
          <w:p>
            <w:r>
              <w:t>Representative</w:t>
            </w:r>
          </w:p>
        </w:tc>
        <w:tc>
          <w:tcPr>
            <w:tcW w:type="dxa" w:w="1872"/>
            <w:shd w:fill="F2F2F2" w:val="clear"/>
          </w:tcPr>
          <w:p>
            <w:r>
              <w:t>UT</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 Energy and Water Development and Related Agencies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Skull Valley Band of Goshute Indians of Utah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Skull Valley Band of Goshute Indians of Utah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Skull Valley Band of Goshute Indians of Utah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Skull Valley Band of Goshute Indians of Utah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$1,140,612</w:t>
            </w:r>
          </w:p>
        </w:tc>
        <w:tc>
          <w:tcPr>
            <w:tcW w:type="dxa" w:w="2340"/>
            <w:shd w:fill="F2F2F2" w:val="clear"/>
          </w:tcPr>
          <w:p>
            <w:r>
              <w:t>2012-07-17 - 2034-09-30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$35,007</w:t>
            </w:r>
          </w:p>
        </w:tc>
        <w:tc>
          <w:tcPr>
            <w:tcW w:type="dxa" w:w="2340"/>
            <w:shd w:fill="FFFFFF" w:val="clear"/>
          </w:tcPr>
          <w:p>
            <w:r>
              <w:t>2022-07-26 - 2026-09-30</w:t>
            </w:r>
          </w:p>
        </w:tc>
      </w:tr>
    </w:tbl>
    <w:p>
      <w:pPr>
        <w:pStyle w:val="HSBody"/>
      </w:pPr>
      <w:r>
        <w:rPr>
          <w:b/>
        </w:rPr>
        <w:t>Total: $1,175,619</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HUD IHBG funding to Skull Valley Band of Goshute Indians of Utah generated an estimated $2,116,114-$2,821,486 in regional economic activity (BEA RIMS II methodology, output multiplier range 1.8-2.4x), supporting approximately 9-18 jobs (BLS employment requirements methodology).</w:t>
      </w:r>
    </w:p>
    <w:p>
      <w:pPr>
        <w:pStyle w:val="HSBody"/>
      </w:pPr>
      <w:r>
        <w:t>Hazard Alignment: Skull Valley Band of Goshute Indians of Utah's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HUD IHBG funding to Skull Valley Band of Goshute Indians of Utah generated an estimated $2,116,114-$2,821,486 in regional economic activity (BEA RIMS II methodology, output multiplier range 1.8-2.4x), supporting approximately 9-18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Skull Valley Band of Goshute Indians of Utah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Skull Valley Band of Goshute Indians of Utah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Skull Valley Band of Goshute Indians of Utah's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Skull Valley Band of Goshute Indians of Utah's Wildfire, Landslide and Avalanche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36.2)</w:t>
      </w:r>
    </w:p>
    <w:p>
      <w:pPr>
        <w:pStyle w:val="HSBody"/>
      </w:pPr>
      <w:r>
        <w:t>Social Vulnerability: Relatively Low (Score: 25.3)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83.4</w:t>
            </w:r>
          </w:p>
        </w:tc>
        <w:tc>
          <w:tcPr>
            <w:tcW w:type="dxa" w:w="2340"/>
            <w:shd w:fill="F2F2F2" w:val="clear"/>
          </w:tcPr>
          <w:p>
            <w:r>
              <w:t>Very High</w:t>
            </w:r>
          </w:p>
        </w:tc>
        <w:tc>
          <w:tcPr>
            <w:tcW w:type="dxa" w:w="2340"/>
            <w:shd w:fill="F2F2F2" w:val="clear"/>
          </w:tcPr>
          <w:p>
            <w:r>
              <w:t>$6,799,369</w:t>
            </w:r>
          </w:p>
        </w:tc>
      </w:tr>
      <w:tr>
        <w:tc>
          <w:tcPr>
            <w:tcW w:type="dxa" w:w="2340"/>
            <w:shd w:fill="FFFFFF" w:val="clear"/>
          </w:tcPr>
          <w:p>
            <w:r>
              <w:t>Landslide</w:t>
            </w:r>
          </w:p>
        </w:tc>
        <w:tc>
          <w:tcPr>
            <w:tcW w:type="dxa" w:w="2340"/>
            <w:shd w:fill="FFFFFF" w:val="clear"/>
          </w:tcPr>
          <w:p>
            <w:r>
              <w:t>79.1</w:t>
            </w:r>
          </w:p>
        </w:tc>
        <w:tc>
          <w:tcPr>
            <w:tcW w:type="dxa" w:w="2340"/>
            <w:shd w:fill="FFFFFF" w:val="clear"/>
          </w:tcPr>
          <w:p>
            <w:r>
              <w:t>Relatively High</w:t>
            </w:r>
          </w:p>
        </w:tc>
        <w:tc>
          <w:tcPr>
            <w:tcW w:type="dxa" w:w="2340"/>
            <w:shd w:fill="FFFFFF" w:val="clear"/>
          </w:tcPr>
          <w:p>
            <w:r>
              <w:t>$117,388</w:t>
            </w:r>
          </w:p>
        </w:tc>
      </w:tr>
      <w:tr>
        <w:tc>
          <w:tcPr>
            <w:tcW w:type="dxa" w:w="2340"/>
            <w:shd w:fill="F2F2F2" w:val="clear"/>
          </w:tcPr>
          <w:p>
            <w:r>
              <w:t>Avalanche</w:t>
            </w:r>
          </w:p>
        </w:tc>
        <w:tc>
          <w:tcPr>
            <w:tcW w:type="dxa" w:w="2340"/>
            <w:shd w:fill="F2F2F2" w:val="clear"/>
          </w:tcPr>
          <w:p>
            <w:r>
              <w:t>78.3</w:t>
            </w:r>
          </w:p>
        </w:tc>
        <w:tc>
          <w:tcPr>
            <w:tcW w:type="dxa" w:w="2340"/>
            <w:shd w:fill="F2F2F2" w:val="clear"/>
          </w:tcPr>
          <w:p>
            <w:r>
              <w:t>Relatively High</w:t>
            </w:r>
          </w:p>
        </w:tc>
        <w:tc>
          <w:tcPr>
            <w:tcW w:type="dxa" w:w="2340"/>
            <w:shd w:fill="F2F2F2" w:val="clear"/>
          </w:tcPr>
          <w:p>
            <w:r>
              <w:t>$1,839,237</w:t>
            </w:r>
          </w:p>
        </w:tc>
      </w:tr>
      <w:tr>
        <w:tc>
          <w:tcPr>
            <w:tcW w:type="dxa" w:w="2340"/>
            <w:shd w:fill="FFFFFF" w:val="clear"/>
          </w:tcPr>
          <w:p>
            <w:r>
              <w:t>Winter Weather</w:t>
            </w:r>
          </w:p>
        </w:tc>
        <w:tc>
          <w:tcPr>
            <w:tcW w:type="dxa" w:w="2340"/>
            <w:shd w:fill="FFFFFF" w:val="clear"/>
          </w:tcPr>
          <w:p>
            <w:r>
              <w:t>73.0</w:t>
            </w:r>
          </w:p>
        </w:tc>
        <w:tc>
          <w:tcPr>
            <w:tcW w:type="dxa" w:w="2340"/>
            <w:shd w:fill="FFFFFF" w:val="clear"/>
          </w:tcPr>
          <w:p>
            <w:r>
              <w:t>Relatively High</w:t>
            </w:r>
          </w:p>
        </w:tc>
        <w:tc>
          <w:tcPr>
            <w:tcW w:type="dxa" w:w="2340"/>
            <w:shd w:fill="FFFFFF" w:val="clear"/>
          </w:tcPr>
          <w:p>
            <w:r>
              <w:t>$418,477</w:t>
            </w:r>
          </w:p>
        </w:tc>
      </w:tr>
      <w:tr>
        <w:tc>
          <w:tcPr>
            <w:tcW w:type="dxa" w:w="2340"/>
            <w:shd w:fill="F2F2F2" w:val="clear"/>
          </w:tcPr>
          <w:p>
            <w:r>
              <w:t>Lightning</w:t>
            </w:r>
          </w:p>
        </w:tc>
        <w:tc>
          <w:tcPr>
            <w:tcW w:type="dxa" w:w="2340"/>
            <w:shd w:fill="F2F2F2" w:val="clear"/>
          </w:tcPr>
          <w:p>
            <w:r>
              <w:t>69.7</w:t>
            </w:r>
          </w:p>
        </w:tc>
        <w:tc>
          <w:tcPr>
            <w:tcW w:type="dxa" w:w="2340"/>
            <w:shd w:fill="F2F2F2" w:val="clear"/>
          </w:tcPr>
          <w:p>
            <w:r>
              <w:t>Relatively High</w:t>
            </w:r>
          </w:p>
        </w:tc>
        <w:tc>
          <w:tcPr>
            <w:tcW w:type="dxa" w:w="2340"/>
            <w:shd w:fill="F2F2F2" w:val="clear"/>
          </w:tcPr>
          <w:p>
            <w:r>
              <w:t>$1,354,468</w:t>
            </w:r>
          </w:p>
        </w:tc>
      </w:tr>
    </w:tbl>
    <w:p>
      <w:r>
        <w:br w:type="page"/>
      </w:r>
    </w:p>
    <w:p>
      <w:pPr>
        <w:pStyle w:val="Heading2"/>
      </w:pPr>
      <w:r>
        <w:t>Structural Policy Asks</w:t>
      </w:r>
    </w:p>
    <w:p>
      <w:pPr>
        <w:pStyle w:val="HSBody"/>
      </w:pPr>
      <w:r>
        <w:t>The following structural policy changes would advance climate resilience funding for Skull Valley Band of Goshute Indians of Utah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Skull Valley Band of Goshute Indians of Utah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Skull Valley Band of Goshute Indians of Utah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