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Goodnews Bay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Goodnews Bay's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Goodnews Bay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$5,134,435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$4,000,000</w:t>
            </w:r>
          </w:p>
        </w:tc>
        <w:tc>
          <w:tcPr>
            <w:tcW w:type="dxa" w:w="2340"/>
            <w:shd w:fill="F2F2F2" w:val="clear"/>
          </w:tcPr>
          <w:p>
            <w:r>
              <w:t>2025-01-01 - 2029-12-31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$249,907</w:t>
            </w:r>
          </w:p>
        </w:tc>
        <w:tc>
          <w:tcPr>
            <w:tcW w:type="dxa" w:w="2340"/>
            <w:shd w:fill="FFFFFF" w:val="clear"/>
          </w:tcPr>
          <w:p>
            <w:r>
              <w:t>2025-04-22 - 2027-09-30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2025-05-01 - 2027-12-31</w:t>
            </w:r>
          </w:p>
        </w:tc>
      </w:tr>
    </w:tbl>
    <w:p>
      <w:pPr>
        <w:pStyle w:val="HSBody"/>
      </w:pPr>
      <w:r>
        <w:rPr>
          <w:b/>
        </w:rPr>
        <w:t>Total: $4,399,907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Goodnews Bay generated an estimated $7,919,833-$10,559,777 in regional economic activity (BEA RIMS II methodology, output multiplier range 1.8-2.4x), supporting approximately 35-66 jobs (BLS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Goodnews Bay generated an estimated $7,919,833-$10,559,777 in regional economic activity (BEA RIMS II methodology, output multiplier range 1.8-2.4x), supporting approximately 35-66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$644,000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Goodnews Bay generated an estimated $1,159,200-$1,545,600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Goodnews Bay generated an estimated $1,159,200-$1,545,600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Goodnews Bay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Goodnews Bay's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Goodnews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Goodnews Bay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Goodnews Bay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Goodnews Bay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