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Ninilchik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Ninilchik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Ninilchik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$11,004,009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$209,000</w:t>
            </w:r>
          </w:p>
        </w:tc>
        <w:tc>
          <w:tcPr>
            <w:tcW w:type="dxa" w:w="2340"/>
            <w:shd w:fill="F2F2F2" w:val="clear"/>
          </w:tcPr>
          <w:p>
            <w:r>
              <w:t>2024-10-01 - 2028-09-30</w:t>
            </w:r>
          </w:p>
        </w:tc>
      </w:tr>
    </w:tbl>
    <w:p>
      <w:pPr>
        <w:pStyle w:val="HSBody"/>
      </w:pPr>
      <w:r>
        <w:rPr>
          <w:b/>
        </w:rPr>
        <w:t>Total: $209,000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Ninilchik Village generated an estimated $376,200-$501,600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Ninilchik Village generated an estimated $376,200-$501,600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$8,123,481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$8,123,481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Ninilchik Village generated an estimated $14,622,266-$19,496,354 in regional economic activity (BEA RIMS II methodology, output multiplier range 1.8-2.4x), supporting approximately 65-122 jobs (BLS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Ninilchik Village generated an estimated $14,622,266-$19,496,354 in regional economic activity (BEA RIMS II methodology, output multiplier range 1.8-2.4x), supporting approximately 65-122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Ninilchik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Ninilchik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Ninilchik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Ninilchik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Ninilchik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Ninilchik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