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Point Hope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Point Hope's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Point Hope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$10,518,471</w:t>
      </w:r>
    </w:p>
    <w:p>
      <w:pPr>
        <w:pStyle w:val="HSBody"/>
      </w:pPr>
      <w:r>
        <w:t>15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$400,000</w:t>
            </w:r>
          </w:p>
        </w:tc>
        <w:tc>
          <w:tcPr>
            <w:tcW w:type="dxa" w:w="2340"/>
            <w:shd w:fill="F2F2F2" w:val="clear"/>
          </w:tcPr>
          <w:p>
            <w:r>
              <w:t>2025-09-01 - 2028-12-31</w:t>
            </w:r>
          </w:p>
        </w:tc>
      </w:tr>
    </w:tbl>
    <w:p>
      <w:pPr>
        <w:pStyle w:val="HSBody"/>
      </w:pPr>
      <w:r>
        <w:rPr>
          <w:b/>
        </w:rPr>
        <w:t>Total: $400,000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Point Hope generated an estimated $720,000-$960,000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Point Hope generated an estimated $720,000-$960,000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$134,000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$134,000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Point Hope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Point Hope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$6,808,776</w:t>
            </w:r>
          </w:p>
        </w:tc>
        <w:tc>
          <w:tcPr>
            <w:tcW w:type="dxa" w:w="2340"/>
            <w:shd w:fill="F2F2F2" w:val="clear"/>
          </w:tcPr>
          <w:p>
            <w:r>
              <w:t>2012-02-17 - 2034-09-30</w:t>
            </w:r>
          </w:p>
        </w:tc>
      </w:tr>
    </w:tbl>
    <w:p>
      <w:pPr>
        <w:pStyle w:val="HSBody"/>
      </w:pPr>
      <w:r>
        <w:rPr>
          <w:b/>
        </w:rPr>
        <w:t>Total: $6,808,776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Point Hope generated an estimated $12,255,797-$16,341,062 in regional economic activity (BEA RIMS II methodology, output multiplier range 1.8-2.4x), supporting approximately 54-102 jobs (BLS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Point Hope generated an estimated $12,255,797-$16,341,062 in regional economic activity (BEA RIMS II methodology, output multiplier range 1.8-2.4x), supporting approximately 54-102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Hope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Point Hope's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Point Hope's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Point Hope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Point Hope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Point Hope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