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Tanana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Tanana's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Tanana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$5,707,878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Tanana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Tanana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$4,041,630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$121,206</w:t>
            </w:r>
          </w:p>
        </w:tc>
        <w:tc>
          <w:tcPr>
            <w:tcW w:type="dxa" w:w="2340"/>
            <w:shd w:fill="FFFFFF" w:val="clear"/>
          </w:tcPr>
          <w:p>
            <w:r>
              <w:t>2021-09-24 - 2030-09-30</w:t>
            </w:r>
          </w:p>
        </w:tc>
      </w:tr>
    </w:tbl>
    <w:p>
      <w:pPr>
        <w:pStyle w:val="HSBody"/>
      </w:pPr>
      <w:r>
        <w:rPr>
          <w:b/>
        </w:rPr>
        <w:t>Total: $4,162,836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Tanana generated an estimated $7,493,105-$9,990,806 in regional economic activity (BEA RIMS II methodology, output multiplier range 1.8-2.4x), supporting approximately 33-62 jobs (BLS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Tanana generated an estimated $7,493,105-$9,990,806 in regional economic activity (BEA RIMS II methodology, output multiplier range 1.8-2.4x), supporting approximately 33-62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Tanana's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Tanana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Tanana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Tanana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