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Big Lagoon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Big Lagoon Rancheria, California's climate risk profile and geographic context.</w:t>
      </w:r>
    </w:p>
    <w:p>
      <w:r>
        <w:br w:type="page"/>
      </w:r>
    </w:p>
    <w:p>
      <w:pPr>
        <w:pStyle w:val="Heading2"/>
      </w:pPr>
      <w:r>
        <w:t>Executive Summary</w:t>
      </w:r>
    </w:p>
    <w:p>
      <w:pPr>
        <w:pStyle w:val="HSTitle"/>
      </w:pPr>
      <w:r>
        <w:t>Big Lagoon Rancheria, California -- CA</w:t>
      </w:r>
    </w:p>
    <w:p>
      <w:pPr>
        <w:pStyle w:val="HSBody"/>
      </w:pPr>
      <w:r>
        <w:t>This strategy document outlines Big Lagoon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$1,163,386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Lagoon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Lagoon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Big Lagoon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Lagoon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Big Lagoon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Lagoon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Big Lagoon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Lagoon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Lagoon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Lagoon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Big Lagoon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Big Lagoon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$1,128,379</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$1,163,386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Big Lagoon Rancheria, California generated an estimated $2,094,095-$2,792,126 in regional economic activity (BEA RIMS II methodology, output multiplier range 1.8-2.4x), supporting approximately 9-17 jobs (BLS employment requirements methodology).</w:t>
      </w:r>
    </w:p>
    <w:p>
      <w:pPr>
        <w:pStyle w:val="HSBody"/>
      </w:pPr>
      <w:r>
        <w:t>Hazard Alignment: Big Lagoon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Big Lagoon Rancheria, California's Wildfire, Earthquake and Landslide risk makes this program critical for community resilience</w:t>
      </w:r>
    </w:p>
    <w:p>
      <w:pPr>
        <w:pStyle w:val="HSCalloutDetail"/>
        <w:shd w:fill="EEF2FF" w:val="clear"/>
      </w:pPr>
      <w:r>
        <w:t>IMPACT: HUD IHBG funding to Big Lagoon Rancheria, California generated an estimated $2,094,095-$2,792,126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Big Lagoon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Big Lagoon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Big Lagoon Rancheria, California's advocacy engagements during the current congressional session.</w:t>
      </w:r>
    </w:p>
    <w:p>
      <w:pPr>
        <w:pStyle w:val="HSSection"/>
      </w:pPr>
      <w:r>
        <w:t>Core Message</w:t>
      </w:r>
    </w:p>
    <w:p>
      <w:pPr>
        <w:pStyle w:val="HSBody"/>
      </w:pPr>
      <w:r>
        <w:t>Big Lagoon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Big Lagoon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Big Lagoon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